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hint="eastAsia" w:ascii="华文中宋" w:hAnsi="华文中宋" w:eastAsia="华文中宋" w:cs="华文中宋"/>
          <w:b/>
          <w:sz w:val="52"/>
          <w:szCs w:val="84"/>
        </w:rPr>
      </w:pPr>
      <w:r>
        <w:rPr>
          <w:rFonts w:hint="eastAsia" w:ascii="华文中宋" w:hAnsi="华文中宋" w:eastAsia="华文中宋" w:cs="华文中宋"/>
          <w:b/>
          <w:sz w:val="52"/>
          <w:szCs w:val="84"/>
        </w:rPr>
        <w:t>宿州市</w:t>
      </w:r>
      <w:r>
        <w:rPr>
          <w:rFonts w:hint="eastAsia" w:ascii="华文中宋" w:hAnsi="华文中宋" w:eastAsia="华文中宋" w:cs="华文中宋"/>
          <w:b/>
          <w:sz w:val="52"/>
          <w:szCs w:val="84"/>
          <w:lang w:eastAsia="zh-CN"/>
        </w:rPr>
        <w:t>红十字会</w:t>
      </w:r>
      <w:r>
        <w:rPr>
          <w:rFonts w:hint="eastAsia" w:ascii="华文中宋" w:hAnsi="华文中宋" w:eastAsia="华文中宋" w:cs="华文中宋"/>
          <w:b/>
          <w:sz w:val="52"/>
          <w:szCs w:val="84"/>
        </w:rPr>
        <w:t>2019年部门预算</w:t>
      </w:r>
      <w:bookmarkStart w:id="1" w:name="_GoBack"/>
      <w:bookmarkEnd w:id="1"/>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2019年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both"/>
        <w:rPr>
          <w:rFonts w:hint="eastAsia" w:ascii="黑体" w:hAnsi="黑体" w:eastAsia="黑体"/>
          <w:bCs/>
          <w:sz w:val="36"/>
          <w:szCs w:val="36"/>
        </w:rPr>
      </w:pPr>
    </w:p>
    <w:p>
      <w:pPr>
        <w:pStyle w:val="3"/>
        <w:adjustRightInd w:val="0"/>
        <w:snapToGrid w:val="0"/>
        <w:spacing w:before="0" w:beforeAutospacing="0" w:after="0" w:afterAutospacing="0" w:line="500" w:lineRule="exact"/>
        <w:jc w:val="center"/>
        <w:rPr>
          <w:rFonts w:hint="eastAsia" w:ascii="黑体" w:hAnsi="黑体" w:eastAsia="黑体"/>
          <w:bCs/>
          <w:sz w:val="44"/>
          <w:szCs w:val="44"/>
        </w:rPr>
      </w:pPr>
    </w:p>
    <w:p>
      <w:pPr>
        <w:pStyle w:val="3"/>
        <w:adjustRightInd w:val="0"/>
        <w:snapToGrid w:val="0"/>
        <w:spacing w:before="0" w:beforeAutospacing="0" w:after="0" w:afterAutospacing="0" w:line="500" w:lineRule="exact"/>
        <w:jc w:val="center"/>
        <w:rPr>
          <w:rFonts w:hint="eastAsia" w:ascii="黑体" w:hAnsi="黑体" w:eastAsia="黑体"/>
          <w:bCs/>
          <w:sz w:val="44"/>
          <w:szCs w:val="44"/>
        </w:rPr>
      </w:pPr>
      <w:r>
        <w:rPr>
          <w:rFonts w:hint="eastAsia" w:ascii="黑体" w:hAnsi="黑体" w:eastAsia="黑体"/>
          <w:bCs/>
          <w:sz w:val="44"/>
          <w:szCs w:val="44"/>
        </w:rPr>
        <w:t>目 录</w:t>
      </w:r>
    </w:p>
    <w:p>
      <w:pPr>
        <w:pStyle w:val="3"/>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3.2019年度主要工作任务</w:t>
      </w:r>
    </w:p>
    <w:p>
      <w:pPr>
        <w:pStyle w:val="3"/>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第二部分 2019年部门预算表</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1.宿州市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2019年财政拨款收支总表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2019年一般公共预算支出表</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3.宿州市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2019年一般公共预算基本支出表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4.宿州市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2019年政府性基金预算支出表</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5.宿州市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2019年国有资本经营预算支出表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6.宿州市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2019年收支总表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7.宿州市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2019年收入总表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8.宿州市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2019年支出总表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9.宿州市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2019年政府采购支出表</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10.宿州市</w:t>
      </w:r>
      <w:r>
        <w:rPr>
          <w:rFonts w:hint="eastAsia" w:ascii="仿宋_GB2312" w:hAnsi="仿宋" w:eastAsia="仿宋_GB2312" w:cs="仿宋"/>
          <w:bCs/>
          <w:sz w:val="32"/>
          <w:szCs w:val="32"/>
          <w:lang w:eastAsia="zh-CN"/>
        </w:rPr>
        <w:t>红十字会</w:t>
      </w:r>
      <w:r>
        <w:rPr>
          <w:rFonts w:hint="eastAsia" w:ascii="仿宋_GB2312" w:hAnsi="仿宋" w:eastAsia="仿宋_GB2312" w:cs="仿宋"/>
          <w:bCs/>
          <w:sz w:val="32"/>
          <w:szCs w:val="32"/>
        </w:rPr>
        <w:t>2019年政府购买服务支出表</w:t>
      </w:r>
    </w:p>
    <w:p>
      <w:pPr>
        <w:pStyle w:val="3"/>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第三部分 2019年部门预算情况说明</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1.关于2019年财政拨款收支预算总体情况说明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2.关于2019年一般公共预算财政拨款情况说明</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3.关于2019年一般公共预算基本支出情况说明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4.关于2019年政府性基金预算拨款情况说明</w:t>
      </w:r>
    </w:p>
    <w:p>
      <w:pPr>
        <w:pStyle w:val="3"/>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5.关于2019年国有资本经营预算拨款情况说明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6.关于2019年收支预算总体情况说明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7.关于2019年收入预算情况说明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8.关于2019年支出预算情况说明</w:t>
      </w:r>
    </w:p>
    <w:p>
      <w:pPr>
        <w:pStyle w:val="3"/>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9.其他重要事项情况说明</w:t>
      </w:r>
    </w:p>
    <w:p>
      <w:pPr>
        <w:pStyle w:val="3"/>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jc w:val="center"/>
        <w:textAlignment w:val="auto"/>
        <w:rPr>
          <w:rFonts w:hint="eastAsia" w:ascii="黑体" w:hAnsi="黑体" w:eastAsia="黑体"/>
          <w:bCs/>
          <w:sz w:val="36"/>
          <w:szCs w:val="36"/>
        </w:rPr>
      </w:pPr>
      <w:r>
        <w:rPr>
          <w:rFonts w:hint="eastAsia" w:ascii="黑体" w:hAnsi="黑体" w:eastAsia="黑体"/>
          <w:bCs/>
          <w:sz w:val="36"/>
          <w:szCs w:val="36"/>
        </w:rPr>
        <w:t>第一部分 部门概况</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pPr>
      <w:r>
        <w:rPr>
          <w:rFonts w:hint="eastAsia" w:ascii="黑体" w:hAnsi="黑体" w:eastAsia="黑体"/>
          <w:bCs/>
          <w:sz w:val="32"/>
          <w:szCs w:val="32"/>
        </w:rPr>
        <w:t>一、主要职责</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rPr>
        <w:t>按照《关于印发宿州市红十字会主要职责内设机构和人员编制规定的通知》（宿政办发[2010]61号）和《关于设立市红十字事业发展部的批复》（宿编[2014]4号）文件规定，市红十字会编制6名，内设机构主要分为办公室、赈济救护部、事业发展部三个科室。现有在职人员1</w:t>
      </w:r>
      <w:r>
        <w:rPr>
          <w:rFonts w:hint="eastAsia" w:ascii="仿宋_GB2312" w:hAnsi="仿宋" w:eastAsia="仿宋_GB2312"/>
          <w:sz w:val="32"/>
          <w:szCs w:val="32"/>
          <w:lang w:val="en-US" w:eastAsia="zh-CN"/>
        </w:rPr>
        <w:t>8</w:t>
      </w:r>
      <w:r>
        <w:rPr>
          <w:rFonts w:hint="eastAsia" w:ascii="仿宋_GB2312" w:hAnsi="仿宋" w:eastAsia="仿宋_GB2312"/>
          <w:sz w:val="32"/>
          <w:szCs w:val="32"/>
        </w:rPr>
        <w:t>人，退休人员2人，公益性岗位人员6人，</w:t>
      </w:r>
      <w:r>
        <w:rPr>
          <w:rFonts w:hint="eastAsia" w:ascii="仿宋_GB2312" w:hAnsi="仿宋" w:eastAsia="仿宋_GB2312"/>
          <w:sz w:val="32"/>
          <w:szCs w:val="32"/>
          <w:lang w:val="en-US" w:eastAsia="zh-CN"/>
        </w:rPr>
        <w:t>14人</w:t>
      </w:r>
      <w:r>
        <w:rPr>
          <w:rFonts w:hint="eastAsia" w:ascii="仿宋_GB2312" w:hAnsi="仿宋" w:eastAsia="仿宋_GB2312"/>
          <w:sz w:val="32"/>
          <w:szCs w:val="32"/>
        </w:rPr>
        <w:t>为财政预算拨款供给人员。其主要职责是：</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（一）</w:t>
      </w:r>
      <w:r>
        <w:rPr>
          <w:rFonts w:hint="eastAsia" w:ascii="仿宋_GB2312" w:hAnsi="仿宋" w:eastAsia="仿宋_GB2312"/>
          <w:sz w:val="32"/>
          <w:szCs w:val="32"/>
        </w:rPr>
        <w:t>贯彻《中华人民共和国红十字会法》及国家红十字会工作的有关法律、法规和政策，研究拟定全市红十字会工作发展规划、实施计划并组织实施。</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（二）</w:t>
      </w:r>
      <w:r>
        <w:rPr>
          <w:rFonts w:hint="eastAsia" w:ascii="仿宋_GB2312" w:hAnsi="仿宋" w:eastAsia="仿宋_GB2312"/>
          <w:sz w:val="32"/>
          <w:szCs w:val="32"/>
        </w:rPr>
        <w:t>按照《中国红十字会章程》，依法指导全市各级红十字会工作。</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（三）</w:t>
      </w:r>
      <w:r>
        <w:rPr>
          <w:rFonts w:hint="eastAsia" w:ascii="仿宋_GB2312" w:hAnsi="仿宋" w:eastAsia="仿宋_GB2312"/>
          <w:sz w:val="32"/>
          <w:szCs w:val="32"/>
        </w:rPr>
        <w:t>开展备灾救灾工作，在自然灾害和突发事件中，协助政府实施赈灾救援。</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（四）</w:t>
      </w:r>
      <w:r>
        <w:rPr>
          <w:rFonts w:hint="eastAsia" w:ascii="仿宋_GB2312" w:hAnsi="仿宋" w:eastAsia="仿宋_GB2312"/>
          <w:sz w:val="32"/>
          <w:szCs w:val="32"/>
        </w:rPr>
        <w:t>开展人道主义领域内的社区服务和社会公益活动；组织开展群众性应急救护训练和现场急救工作，普及紧急救护和防灾、防病知识；按照安徽省红十字会的部署，参加国际人道主义救援工作。</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（五）</w:t>
      </w:r>
      <w:r>
        <w:rPr>
          <w:rFonts w:hint="eastAsia" w:ascii="仿宋_GB2312" w:hAnsi="仿宋" w:eastAsia="仿宋_GB2312"/>
          <w:sz w:val="32"/>
          <w:szCs w:val="32"/>
        </w:rPr>
        <w:t>依法开展与国外红十字会组织、红新月会及港、澳、台红十字会组织的合作与交流活动。</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（六）</w:t>
      </w:r>
      <w:r>
        <w:rPr>
          <w:rFonts w:hint="eastAsia" w:ascii="仿宋_GB2312" w:hAnsi="仿宋" w:eastAsia="仿宋_GB2312"/>
          <w:sz w:val="32"/>
          <w:szCs w:val="32"/>
        </w:rPr>
        <w:t>组织管理全市红十字会志愿者队伍；开展无偿献血、造血干细胞和遗体（器官）捐献的宣传和管理工作。</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（七）</w:t>
      </w:r>
      <w:r>
        <w:rPr>
          <w:rFonts w:hint="eastAsia" w:ascii="仿宋_GB2312" w:hAnsi="仿宋" w:eastAsia="仿宋_GB2312"/>
          <w:sz w:val="32"/>
          <w:szCs w:val="32"/>
        </w:rPr>
        <w:t>开展有益于青少年身心健康、弘扬人道主义精神的红十字青少年活动。</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（八）</w:t>
      </w:r>
      <w:r>
        <w:rPr>
          <w:rFonts w:hint="eastAsia" w:ascii="仿宋_GB2312" w:hAnsi="仿宋" w:eastAsia="仿宋_GB2312"/>
          <w:sz w:val="32"/>
          <w:szCs w:val="32"/>
        </w:rPr>
        <w:t>完成市政府和安徽省红十字会交办的其他工作。</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黑体" w:hAnsi="黑体" w:eastAsia="黑体"/>
          <w:bCs/>
          <w:sz w:val="32"/>
          <w:szCs w:val="32"/>
        </w:rPr>
      </w:pPr>
      <w:r>
        <w:rPr>
          <w:rFonts w:hint="eastAsia" w:ascii="黑体" w:hAnsi="黑体" w:eastAsia="黑体"/>
          <w:bCs/>
          <w:sz w:val="32"/>
          <w:szCs w:val="32"/>
        </w:rPr>
        <w:t>二、部门预算单位构成</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sz w:val="32"/>
          <w:szCs w:val="32"/>
        </w:rPr>
        <w:t>从预算单位构成看，宿州市红十字会2019年度部门预算包括</w:t>
      </w:r>
      <w:r>
        <w:rPr>
          <w:rFonts w:hint="eastAsia" w:ascii="仿宋_GB2312" w:hAnsi="仿宋" w:eastAsia="仿宋_GB2312"/>
          <w:sz w:val="32"/>
          <w:szCs w:val="32"/>
          <w:lang w:eastAsia="zh-CN"/>
        </w:rPr>
        <w:t>市</w:t>
      </w:r>
      <w:r>
        <w:rPr>
          <w:rFonts w:hint="eastAsia" w:ascii="仿宋_GB2312" w:hAnsi="仿宋" w:eastAsia="仿宋_GB2312"/>
          <w:sz w:val="32"/>
          <w:szCs w:val="32"/>
        </w:rPr>
        <w:t>本级预算和</w:t>
      </w:r>
      <w:r>
        <w:rPr>
          <w:rFonts w:hint="eastAsia" w:ascii="仿宋_GB2312" w:hAnsi="仿宋" w:eastAsia="仿宋_GB2312"/>
          <w:sz w:val="32"/>
          <w:szCs w:val="32"/>
          <w:lang w:eastAsia="zh-CN"/>
        </w:rPr>
        <w:t>所</w:t>
      </w:r>
      <w:r>
        <w:rPr>
          <w:rFonts w:hint="eastAsia" w:ascii="仿宋_GB2312" w:hAnsi="仿宋" w:eastAsia="仿宋_GB2312"/>
          <w:sz w:val="32"/>
          <w:szCs w:val="32"/>
        </w:rPr>
        <w:t>属</w:t>
      </w:r>
      <w:r>
        <w:rPr>
          <w:rFonts w:hint="eastAsia" w:ascii="仿宋_GB2312" w:hAnsi="仿宋" w:eastAsia="仿宋_GB2312" w:cs="宋体"/>
          <w:color w:val="000000"/>
          <w:sz w:val="32"/>
          <w:szCs w:val="32"/>
        </w:rPr>
        <w:t>事业</w:t>
      </w:r>
      <w:r>
        <w:rPr>
          <w:rFonts w:hint="eastAsia" w:ascii="仿宋_GB2312" w:hAnsi="仿宋" w:eastAsia="仿宋_GB2312"/>
          <w:sz w:val="32"/>
          <w:szCs w:val="32"/>
        </w:rPr>
        <w:t>单位预算，纳入部门预算编制范围的单位共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个，具体情况见下表。</w:t>
      </w:r>
    </w:p>
    <w:tbl>
      <w:tblPr>
        <w:tblStyle w:val="6"/>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Layout w:type="fixed"/>
          <w:tblCellMar>
            <w:top w:w="0" w:type="dxa"/>
            <w:left w:w="0" w:type="dxa"/>
            <w:bottom w:w="0" w:type="dxa"/>
            <w:right w:w="0" w:type="dxa"/>
          </w:tblCellMar>
        </w:tblPrEx>
        <w:trPr>
          <w:trHeight w:val="492" w:hRule="exact"/>
        </w:trPr>
        <w:tc>
          <w:tcPr>
            <w:tcW w:w="90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noWrap w:val="0"/>
            <w:vAlign w:val="top"/>
          </w:tcPr>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仿宋_GB2312" w:hAnsi="宋体" w:eastAsia="仿宋_GB2312"/>
                <w:sz w:val="24"/>
              </w:rPr>
            </w:pPr>
            <w:r>
              <w:rPr>
                <w:rFonts w:hint="eastAsia" w:ascii="仿宋_GB2312" w:hAnsi="宋体" w:eastAsia="仿宋_GB2312"/>
                <w:sz w:val="24"/>
              </w:rPr>
              <w:t>单位性质</w:t>
            </w:r>
          </w:p>
        </w:tc>
      </w:tr>
      <w:tr>
        <w:tblPrEx>
          <w:tblLayout w:type="fixed"/>
          <w:tblCellMar>
            <w:top w:w="0" w:type="dxa"/>
            <w:left w:w="0" w:type="dxa"/>
            <w:bottom w:w="0" w:type="dxa"/>
            <w:right w:w="0" w:type="dxa"/>
          </w:tblCellMar>
        </w:tblPrEx>
        <w:trPr>
          <w:trHeight w:val="50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仿宋_GB2312" w:hAnsi="宋体" w:eastAsia="仿宋_GB2312" w:cs="宋体"/>
                <w:sz w:val="24"/>
              </w:rPr>
            </w:pPr>
            <w:r>
              <w:rPr>
                <w:rFonts w:hint="eastAsia"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仿宋_GB2312" w:hAnsi="宋体" w:eastAsia="仿宋_GB2312"/>
                <w:sz w:val="24"/>
                <w:u w:val="single"/>
              </w:rPr>
            </w:pPr>
            <w:r>
              <w:rPr>
                <w:rFonts w:hint="eastAsia" w:ascii="仿宋_GB2312" w:hAnsi="仿宋" w:eastAsia="仿宋_GB2312" w:cs="仿宋"/>
                <w:bCs/>
                <w:sz w:val="24"/>
              </w:rPr>
              <w:t>宿州市红十字会本级</w:t>
            </w:r>
          </w:p>
        </w:tc>
        <w:tc>
          <w:tcPr>
            <w:tcW w:w="4500" w:type="dxa"/>
            <w:tcBorders>
              <w:top w:val="nil"/>
              <w:left w:val="nil"/>
              <w:bottom w:val="single" w:color="auto" w:sz="8" w:space="0"/>
              <w:right w:val="single" w:color="auto" w:sz="8" w:space="0"/>
            </w:tcBorders>
            <w:shd w:val="clear" w:color="auto" w:fill="FFFFFF"/>
            <w:noWrap w:val="0"/>
            <w:vAlign w:val="top"/>
          </w:tcPr>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仿宋_GB2312" w:hAnsi="宋体" w:eastAsia="仿宋_GB2312"/>
                <w:sz w:val="24"/>
                <w:u w:val="single"/>
              </w:rPr>
            </w:pPr>
            <w:r>
              <w:rPr>
                <w:rFonts w:hint="eastAsia" w:ascii="仿宋_GB2312" w:hAnsi="仿宋" w:eastAsia="仿宋_GB2312" w:cs="仿宋"/>
                <w:bCs/>
                <w:sz w:val="24"/>
              </w:rPr>
              <w:t>参照公务员法管理的事业单位</w:t>
            </w:r>
          </w:p>
        </w:tc>
      </w:tr>
    </w:tbl>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28"/>
          <w:szCs w:val="28"/>
        </w:rPr>
      </w:pP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textAlignment w:val="auto"/>
        <w:rPr>
          <w:rFonts w:hint="eastAsia" w:ascii="黑体" w:hAnsi="黑体" w:eastAsia="黑体"/>
          <w:bCs/>
          <w:sz w:val="32"/>
          <w:szCs w:val="32"/>
        </w:rPr>
      </w:pPr>
      <w:r>
        <w:rPr>
          <w:rFonts w:hint="eastAsia" w:ascii="黑体" w:hAnsi="黑体" w:eastAsia="黑体"/>
          <w:bCs/>
          <w:sz w:val="32"/>
          <w:szCs w:val="32"/>
        </w:rPr>
        <w:t>三、2019年度主要工作任务</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宿州市红十字会的主要工作是从事应急救护培训、造血干细胞及遗体（器官）捐献、募捐救助等人道主义工作。2019年市红十字会将继续充分发挥红十字会在改善民生和促进社会和谐中的优势，不断完善灾害应急体系，逐步建立可持续筹资机制，注重突出救护培训的实效性、广泛性和群众性，深入开展红十字应急救护“五进”（进机关、社区、校园、企业、农村）普及活动，着力提高群众自救互救技能，努力提升红十字品牌形象，围绕社会所需、百姓所求、服务所能，以我市争创全国文明城市为契机，市红十字志愿服务总队下辖的综合、三献、红十字精神传播、筹资募捐、应急救援、心理救援、文明劝行和艺术团等8支志愿服务队，常态开展文明交通、环境整治、人道精神传播、志愿者技能培训（理发、剪纸、驾驶安全技能），三献知识宣传、应急技能演练、心理减压疏导（赴学校、社区、警营）以及助学、助老、助困、学雷锋进社区等富有红十字特色的志愿服务活动，积极围绕脱贫攻坚中心工作，在</w:t>
      </w:r>
      <w:r>
        <w:rPr>
          <w:rFonts w:hint="eastAsia" w:ascii="仿宋_GB2312" w:hAnsi="仿宋" w:eastAsia="仿宋_GB2312"/>
          <w:sz w:val="32"/>
          <w:szCs w:val="32"/>
          <w:lang w:val="en-US" w:eastAsia="zh-CN"/>
        </w:rPr>
        <w:t>2018年，</w:t>
      </w:r>
      <w:r>
        <w:rPr>
          <w:rFonts w:hint="eastAsia" w:ascii="仿宋_GB2312" w:hAnsi="仿宋" w:eastAsia="仿宋_GB2312"/>
          <w:sz w:val="32"/>
          <w:szCs w:val="32"/>
          <w:lang w:eastAsia="zh-CN"/>
        </w:rPr>
        <w:t>与市扶贫局对接，在全市贫困村和社区中建设20个示范“红十字博爱超市”的基础上，继续做好“红十字博爱超市”的指导、监督工作，开展形式多样的募捐救助帮扶活动，改善贫困村和贫困家庭的生活、生产境况，助力脱贫摘帽。</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27" w:firstLineChars="196"/>
        <w:jc w:val="both"/>
        <w:textAlignment w:val="auto"/>
        <w:rPr>
          <w:rFonts w:hint="eastAsia" w:ascii="仿宋_GB2312" w:hAnsi="仿宋" w:eastAsia="仿宋_GB2312"/>
          <w:sz w:val="32"/>
          <w:szCs w:val="32"/>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r>
        <w:rPr>
          <w:rFonts w:hint="eastAsia" w:ascii="黑体" w:hAnsi="黑体" w:eastAsia="黑体"/>
          <w:bCs/>
          <w:sz w:val="36"/>
          <w:szCs w:val="36"/>
        </w:rPr>
        <w:t>第二部分 2019年部门预算表</w:t>
      </w:r>
    </w:p>
    <w:tbl>
      <w:tblPr>
        <w:tblStyle w:val="6"/>
        <w:tblW w:w="10581" w:type="dxa"/>
        <w:tblInd w:w="-792" w:type="dxa"/>
        <w:tblLayout w:type="fixed"/>
        <w:tblCellMar>
          <w:top w:w="0" w:type="dxa"/>
          <w:left w:w="108" w:type="dxa"/>
          <w:bottom w:w="0" w:type="dxa"/>
          <w:right w:w="108" w:type="dxa"/>
        </w:tblCellMar>
      </w:tblPr>
      <w:tblGrid>
        <w:gridCol w:w="2700"/>
        <w:gridCol w:w="900"/>
        <w:gridCol w:w="3268"/>
        <w:gridCol w:w="915"/>
        <w:gridCol w:w="885"/>
        <w:gridCol w:w="960"/>
        <w:gridCol w:w="953"/>
      </w:tblGrid>
      <w:tr>
        <w:tblPrEx>
          <w:tblLayout w:type="fixed"/>
          <w:tblCellMar>
            <w:top w:w="0" w:type="dxa"/>
            <w:left w:w="108" w:type="dxa"/>
            <w:bottom w:w="0" w:type="dxa"/>
            <w:right w:w="108" w:type="dxa"/>
          </w:tblCellMar>
        </w:tblPrEx>
        <w:trPr>
          <w:trHeight w:val="525" w:hRule="atLeast"/>
        </w:trPr>
        <w:tc>
          <w:tcPr>
            <w:tcW w:w="10581" w:type="dxa"/>
            <w:gridSpan w:val="7"/>
            <w:tcBorders>
              <w:top w:val="nil"/>
              <w:left w:val="nil"/>
              <w:bottom w:val="nil"/>
              <w:right w:val="nil"/>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                   </w:t>
            </w:r>
          </w:p>
          <w:p>
            <w:pPr>
              <w:widowControl/>
              <w:jc w:val="center"/>
              <w:rPr>
                <w:rFonts w:hint="eastAsia" w:ascii="宋体" w:hAnsi="宋体" w:cs="宋体"/>
                <w:kern w:val="0"/>
                <w:sz w:val="20"/>
                <w:szCs w:val="20"/>
              </w:rPr>
            </w:pPr>
            <w:r>
              <w:rPr>
                <w:rFonts w:hint="eastAsia" w:ascii="宋体" w:hAnsi="宋体" w:cs="宋体"/>
                <w:kern w:val="0"/>
                <w:sz w:val="20"/>
                <w:szCs w:val="20"/>
              </w:rPr>
              <w:t xml:space="preserve">                                                                           部门公开表1</w:t>
            </w:r>
          </w:p>
          <w:p>
            <w:pPr>
              <w:widowControl/>
              <w:jc w:val="center"/>
              <w:rPr>
                <w:rFonts w:hint="eastAsia" w:ascii="华文中宋" w:hAnsi="华文中宋" w:eastAsia="华文中宋" w:cs="宋体"/>
                <w:b/>
                <w:bCs/>
                <w:kern w:val="0"/>
                <w:sz w:val="36"/>
                <w:szCs w:val="36"/>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2019年财政拨款收支总表</w:t>
            </w:r>
          </w:p>
          <w:p>
            <w:pPr>
              <w:widowControl/>
              <w:jc w:val="center"/>
              <w:rPr>
                <w:rFonts w:ascii="宋体" w:hAnsi="宋体" w:cs="宋体"/>
                <w:bCs/>
                <w:color w:val="000000"/>
                <w:kern w:val="0"/>
                <w:sz w:val="20"/>
                <w:szCs w:val="20"/>
                <w:u w:val="single"/>
              </w:rPr>
            </w:pPr>
            <w:r>
              <w:rPr>
                <w:rFonts w:hint="eastAsia" w:ascii="华文中宋" w:hAnsi="华文中宋" w:eastAsia="华文中宋" w:cs="宋体"/>
                <w:bCs/>
                <w:kern w:val="0"/>
                <w:sz w:val="18"/>
                <w:szCs w:val="18"/>
              </w:rPr>
              <w:t xml:space="preserve">                                                                                 </w:t>
            </w:r>
            <w:r>
              <w:rPr>
                <w:rFonts w:hint="eastAsia" w:ascii="宋体" w:hAnsi="宋体" w:cs="宋体"/>
                <w:bCs/>
                <w:kern w:val="0"/>
                <w:sz w:val="20"/>
                <w:szCs w:val="20"/>
              </w:rPr>
              <w:t>单位：万元</w:t>
            </w:r>
          </w:p>
        </w:tc>
      </w:tr>
      <w:tr>
        <w:tblPrEx>
          <w:tblLayout w:type="fixed"/>
          <w:tblCellMar>
            <w:top w:w="0" w:type="dxa"/>
            <w:left w:w="108" w:type="dxa"/>
            <w:bottom w:w="0" w:type="dxa"/>
            <w:right w:w="108" w:type="dxa"/>
          </w:tblCellMar>
        </w:tblPrEx>
        <w:trPr>
          <w:trHeight w:val="360" w:hRule="atLeast"/>
        </w:trPr>
        <w:tc>
          <w:tcPr>
            <w:tcW w:w="3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收   入             </w:t>
            </w:r>
          </w:p>
        </w:tc>
        <w:tc>
          <w:tcPr>
            <w:tcW w:w="698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Layout w:type="fixed"/>
          <w:tblCellMar>
            <w:top w:w="0" w:type="dxa"/>
            <w:left w:w="108" w:type="dxa"/>
            <w:bottom w:w="0" w:type="dxa"/>
            <w:right w:w="108" w:type="dxa"/>
          </w:tblCellMar>
        </w:tblPrEx>
        <w:trPr>
          <w:trHeight w:val="660"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一般公共预算拨款</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政府性基金预算拨款</w:t>
            </w:r>
          </w:p>
        </w:tc>
        <w:tc>
          <w:tcPr>
            <w:tcW w:w="95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国有资本经营预算拨款</w:t>
            </w:r>
          </w:p>
        </w:tc>
      </w:tr>
      <w:tr>
        <w:tblPrEx>
          <w:tblLayout w:type="fixed"/>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 国库管理非税收入</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2.48</w:t>
            </w: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三、国防支出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六、科学技术支出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七、文化旅游体育与传媒支出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八、社会保障和就业支出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0"/>
                <w:szCs w:val="20"/>
                <w:lang w:val="en-US" w:eastAsia="zh-CN"/>
              </w:rPr>
              <w:t>110.46</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110.46</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九、卫生健康支出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3.90</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3.90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十、节能环保支出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十一、城乡社区支出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十二、农林水支出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十三、交通运输支出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十四、资源勘探信息等支出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十五、商业服务业等支出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十六、金融支出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十七、援助其他地区支出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十八、自然资源海洋气象等支出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十九、住房保障支出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5.94</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5.94</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二十、粮油物资储备支出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二十一、灾害防治及应急管理支出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二十二、其他支出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二十三、债务还本支出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二十四、债务付息支出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本年收入小计</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3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本年支出小计</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上年结转</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结转下年</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3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88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kern w:val="0"/>
                <w:sz w:val="20"/>
                <w:szCs w:val="20"/>
                <w:lang w:val="en-US" w:eastAsia="zh-CN"/>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收入总计</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3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支出总计</w:t>
            </w: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cs="宋体"/>
                <w:kern w:val="0"/>
                <w:sz w:val="20"/>
                <w:szCs w:val="20"/>
                <w:lang w:val="en-US" w:eastAsia="zh-CN"/>
              </w:rPr>
              <w:t>120.30</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120.30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部门公开表2</w:t>
      </w:r>
    </w:p>
    <w:tbl>
      <w:tblPr>
        <w:tblStyle w:val="6"/>
        <w:tblW w:w="8906" w:type="dxa"/>
        <w:tblInd w:w="0" w:type="dxa"/>
        <w:tblLayout w:type="fixed"/>
        <w:tblCellMar>
          <w:top w:w="0" w:type="dxa"/>
          <w:left w:w="108" w:type="dxa"/>
          <w:bottom w:w="0" w:type="dxa"/>
          <w:right w:w="108" w:type="dxa"/>
        </w:tblCellMar>
      </w:tblPr>
      <w:tblGrid>
        <w:gridCol w:w="1307"/>
        <w:gridCol w:w="2577"/>
        <w:gridCol w:w="1418"/>
        <w:gridCol w:w="1598"/>
        <w:gridCol w:w="2006"/>
      </w:tblGrid>
      <w:tr>
        <w:tblPrEx>
          <w:tblLayout w:type="fixed"/>
          <w:tblCellMar>
            <w:top w:w="0" w:type="dxa"/>
            <w:left w:w="108" w:type="dxa"/>
            <w:bottom w:w="0" w:type="dxa"/>
            <w:right w:w="108" w:type="dxa"/>
          </w:tblCellMar>
        </w:tblPrEx>
        <w:trPr>
          <w:trHeight w:val="510" w:hRule="atLeast"/>
        </w:trPr>
        <w:tc>
          <w:tcPr>
            <w:tcW w:w="8906" w:type="dxa"/>
            <w:gridSpan w:val="5"/>
            <w:tcBorders>
              <w:top w:val="nil"/>
              <w:left w:val="nil"/>
              <w:bottom w:val="nil"/>
              <w:right w:val="nil"/>
            </w:tcBorders>
            <w:noWrap w:val="0"/>
            <w:vAlign w:val="center"/>
          </w:tcPr>
          <w:p>
            <w:pPr>
              <w:widowControl/>
              <w:jc w:val="center"/>
              <w:rPr>
                <w:rFonts w:hint="eastAsia" w:ascii="华文中宋" w:hAnsi="华文中宋" w:eastAsia="华文中宋" w:cs="宋体"/>
                <w:b/>
                <w:bCs/>
                <w:kern w:val="0"/>
                <w:sz w:val="18"/>
                <w:szCs w:val="18"/>
                <w:u w:val="single"/>
              </w:rPr>
            </w:pPr>
          </w:p>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2019年一般公共预算支出表</w:t>
            </w:r>
          </w:p>
        </w:tc>
      </w:tr>
      <w:tr>
        <w:tblPrEx>
          <w:tblLayout w:type="fixed"/>
          <w:tblCellMar>
            <w:top w:w="0" w:type="dxa"/>
            <w:left w:w="108" w:type="dxa"/>
            <w:bottom w:w="0" w:type="dxa"/>
            <w:right w:w="108" w:type="dxa"/>
          </w:tblCellMar>
        </w:tblPrEx>
        <w:trPr>
          <w:trHeight w:val="450" w:hRule="atLeast"/>
        </w:trPr>
        <w:tc>
          <w:tcPr>
            <w:tcW w:w="1307"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2577" w:type="dxa"/>
            <w:tcBorders>
              <w:top w:val="nil"/>
              <w:left w:val="nil"/>
              <w:bottom w:val="nil"/>
              <w:right w:val="nil"/>
            </w:tcBorders>
            <w:noWrap w:val="0"/>
            <w:vAlign w:val="bottom"/>
          </w:tcPr>
          <w:p>
            <w:pPr>
              <w:widowControl/>
              <w:jc w:val="center"/>
              <w:rPr>
                <w:rFonts w:ascii="宋体" w:hAnsi="宋体" w:cs="宋体"/>
                <w:kern w:val="0"/>
                <w:sz w:val="24"/>
              </w:rPr>
            </w:pPr>
          </w:p>
        </w:tc>
        <w:tc>
          <w:tcPr>
            <w:tcW w:w="1418" w:type="dxa"/>
            <w:tcBorders>
              <w:top w:val="nil"/>
              <w:left w:val="nil"/>
              <w:bottom w:val="nil"/>
              <w:right w:val="nil"/>
            </w:tcBorders>
            <w:noWrap w:val="0"/>
            <w:vAlign w:val="bottom"/>
          </w:tcPr>
          <w:p>
            <w:pPr>
              <w:widowControl/>
              <w:jc w:val="center"/>
              <w:rPr>
                <w:rFonts w:ascii="宋体" w:hAnsi="宋体" w:cs="宋体"/>
                <w:kern w:val="0"/>
                <w:sz w:val="24"/>
              </w:rPr>
            </w:pPr>
          </w:p>
        </w:tc>
        <w:tc>
          <w:tcPr>
            <w:tcW w:w="1598" w:type="dxa"/>
            <w:tcBorders>
              <w:top w:val="nil"/>
              <w:left w:val="nil"/>
              <w:bottom w:val="nil"/>
              <w:right w:val="nil"/>
            </w:tcBorders>
            <w:noWrap w:val="0"/>
            <w:vAlign w:val="bottom"/>
          </w:tcPr>
          <w:p>
            <w:pPr>
              <w:widowControl/>
              <w:jc w:val="center"/>
              <w:rPr>
                <w:rFonts w:ascii="宋体" w:hAnsi="宋体" w:cs="宋体"/>
                <w:kern w:val="0"/>
                <w:sz w:val="24"/>
              </w:rPr>
            </w:pPr>
          </w:p>
        </w:tc>
        <w:tc>
          <w:tcPr>
            <w:tcW w:w="2006"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420" w:hRule="atLeast"/>
        </w:trPr>
        <w:tc>
          <w:tcPr>
            <w:tcW w:w="38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502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Layout w:type="fixed"/>
          <w:tblCellMar>
            <w:top w:w="0" w:type="dxa"/>
            <w:left w:w="108" w:type="dxa"/>
            <w:bottom w:w="0" w:type="dxa"/>
            <w:right w:w="108" w:type="dxa"/>
          </w:tblCellMar>
        </w:tblPrEx>
        <w:trPr>
          <w:trHeight w:val="420"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200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20</w:t>
            </w:r>
            <w:r>
              <w:rPr>
                <w:rFonts w:hint="eastAsia" w:ascii="宋体" w:hAnsi="宋体" w:cs="宋体"/>
                <w:kern w:val="0"/>
                <w:sz w:val="22"/>
                <w:szCs w:val="22"/>
                <w:lang w:val="en-US" w:eastAsia="zh-CN"/>
              </w:rPr>
              <w:t>8</w:t>
            </w:r>
          </w:p>
        </w:tc>
        <w:tc>
          <w:tcPr>
            <w:tcW w:w="25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社会保障和就业支出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110.46</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65.46</w:t>
            </w:r>
          </w:p>
        </w:tc>
        <w:tc>
          <w:tcPr>
            <w:tcW w:w="2006"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w:t>
            </w: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20805</w:t>
            </w:r>
          </w:p>
        </w:tc>
        <w:tc>
          <w:tcPr>
            <w:tcW w:w="2577" w:type="dxa"/>
            <w:tcBorders>
              <w:top w:val="nil"/>
              <w:left w:val="nil"/>
              <w:bottom w:val="single" w:color="auto" w:sz="4" w:space="0"/>
              <w:right w:val="single" w:color="auto" w:sz="4" w:space="0"/>
            </w:tcBorders>
            <w:noWrap w:val="0"/>
            <w:vAlign w:val="center"/>
          </w:tcPr>
          <w:p>
            <w:pPr>
              <w:widowControl/>
              <w:ind w:firstLine="180" w:firstLineChars="100"/>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行政事业单位离退休</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7.47</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7.47</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lang w:val="en-US"/>
              </w:rPr>
            </w:pPr>
            <w:r>
              <w:rPr>
                <w:rFonts w:hint="eastAsia" w:ascii="宋体" w:hAnsi="宋体" w:cs="宋体"/>
                <w:kern w:val="0"/>
                <w:sz w:val="22"/>
                <w:szCs w:val="22"/>
                <w:lang w:val="en-US" w:eastAsia="zh-CN"/>
              </w:rPr>
              <w:t>2080505</w:t>
            </w:r>
          </w:p>
        </w:tc>
        <w:tc>
          <w:tcPr>
            <w:tcW w:w="2577" w:type="dxa"/>
            <w:tcBorders>
              <w:top w:val="nil"/>
              <w:left w:val="nil"/>
              <w:bottom w:val="single" w:color="auto" w:sz="4" w:space="0"/>
              <w:right w:val="single" w:color="auto" w:sz="4" w:space="0"/>
            </w:tcBorders>
            <w:noWrap w:val="0"/>
            <w:vAlign w:val="center"/>
          </w:tcPr>
          <w:p>
            <w:pPr>
              <w:widowControl/>
              <w:ind w:firstLine="360" w:firstLineChars="200"/>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7.47</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7.47</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lang w:val="en-US"/>
              </w:rPr>
            </w:pPr>
            <w:r>
              <w:rPr>
                <w:rFonts w:hint="eastAsia" w:ascii="宋体" w:hAnsi="宋体" w:cs="宋体"/>
                <w:kern w:val="0"/>
                <w:sz w:val="22"/>
                <w:szCs w:val="22"/>
                <w:lang w:val="en-US" w:eastAsia="zh-CN"/>
              </w:rPr>
              <w:t>20816</w:t>
            </w:r>
          </w:p>
        </w:tc>
        <w:tc>
          <w:tcPr>
            <w:tcW w:w="2577" w:type="dxa"/>
            <w:tcBorders>
              <w:top w:val="nil"/>
              <w:left w:val="nil"/>
              <w:bottom w:val="single" w:color="auto" w:sz="4" w:space="0"/>
              <w:right w:val="single" w:color="auto" w:sz="4" w:space="0"/>
            </w:tcBorders>
            <w:noWrap w:val="0"/>
            <w:vAlign w:val="center"/>
          </w:tcPr>
          <w:p>
            <w:pPr>
              <w:widowControl/>
              <w:ind w:firstLine="180" w:firstLineChars="100"/>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红十字事业</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102.99</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57.99</w:t>
            </w:r>
          </w:p>
        </w:tc>
        <w:tc>
          <w:tcPr>
            <w:tcW w:w="2006"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w:t>
            </w: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both"/>
              <w:rPr>
                <w:rFonts w:ascii="宋体" w:hAnsi="宋体" w:cs="宋体"/>
                <w:kern w:val="0"/>
                <w:sz w:val="24"/>
                <w:lang w:val="en-US"/>
              </w:rPr>
            </w:pPr>
            <w:r>
              <w:rPr>
                <w:rFonts w:hint="eastAsia" w:ascii="宋体" w:hAnsi="宋体" w:cs="宋体"/>
                <w:kern w:val="0"/>
                <w:sz w:val="22"/>
                <w:szCs w:val="22"/>
                <w:lang w:val="en-US" w:eastAsia="zh-CN"/>
              </w:rPr>
              <w:t>2081601</w:t>
            </w:r>
          </w:p>
        </w:tc>
        <w:tc>
          <w:tcPr>
            <w:tcW w:w="2577" w:type="dxa"/>
            <w:tcBorders>
              <w:top w:val="nil"/>
              <w:left w:val="nil"/>
              <w:bottom w:val="single" w:color="auto" w:sz="4" w:space="0"/>
              <w:right w:val="single" w:color="auto" w:sz="4" w:space="0"/>
            </w:tcBorders>
            <w:noWrap w:val="0"/>
            <w:vAlign w:val="bottom"/>
          </w:tcPr>
          <w:p>
            <w:pPr>
              <w:widowControl/>
              <w:ind w:firstLine="360" w:firstLineChars="200"/>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行政运行</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102.99</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57.99</w:t>
            </w:r>
          </w:p>
        </w:tc>
        <w:tc>
          <w:tcPr>
            <w:tcW w:w="2006"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w:t>
            </w: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both"/>
              <w:rPr>
                <w:rFonts w:ascii="宋体" w:hAnsi="宋体" w:cs="宋体"/>
                <w:kern w:val="0"/>
                <w:sz w:val="24"/>
                <w:lang w:val="en-US"/>
              </w:rPr>
            </w:pPr>
            <w:r>
              <w:rPr>
                <w:rFonts w:hint="eastAsia" w:ascii="宋体" w:hAnsi="宋体" w:cs="宋体"/>
                <w:kern w:val="0"/>
                <w:sz w:val="22"/>
                <w:szCs w:val="22"/>
                <w:lang w:val="en-US" w:eastAsia="zh-CN"/>
              </w:rPr>
              <w:t>210</w:t>
            </w:r>
          </w:p>
        </w:tc>
        <w:tc>
          <w:tcPr>
            <w:tcW w:w="2577"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卫生</w:t>
            </w:r>
            <w:r>
              <w:rPr>
                <w:rFonts w:hint="eastAsia" w:ascii="宋体" w:hAnsi="宋体" w:cs="宋体"/>
                <w:i w:val="0"/>
                <w:color w:val="000000"/>
                <w:kern w:val="0"/>
                <w:sz w:val="18"/>
                <w:szCs w:val="18"/>
                <w:u w:val="none"/>
                <w:lang w:val="en-US" w:eastAsia="zh-CN" w:bidi="ar"/>
              </w:rPr>
              <w:t>健康</w:t>
            </w:r>
            <w:r>
              <w:rPr>
                <w:rFonts w:hint="eastAsia" w:ascii="宋体" w:hAnsi="宋体" w:eastAsia="宋体" w:cs="宋体"/>
                <w:i w:val="0"/>
                <w:color w:val="000000"/>
                <w:kern w:val="0"/>
                <w:sz w:val="18"/>
                <w:szCs w:val="18"/>
                <w:u w:val="none"/>
                <w:lang w:val="en-US" w:eastAsia="zh-CN" w:bidi="ar"/>
              </w:rPr>
              <w:t>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3.90</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3.90</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lang w:val="en-US"/>
              </w:rPr>
            </w:pPr>
            <w:r>
              <w:rPr>
                <w:rFonts w:hint="eastAsia" w:ascii="宋体" w:hAnsi="宋体" w:cs="宋体"/>
                <w:kern w:val="0"/>
                <w:sz w:val="22"/>
                <w:szCs w:val="22"/>
                <w:lang w:val="en-US" w:eastAsia="zh-CN"/>
              </w:rPr>
              <w:t>21011</w:t>
            </w:r>
          </w:p>
        </w:tc>
        <w:tc>
          <w:tcPr>
            <w:tcW w:w="257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行政事业单位医疗</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3.90</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3.90</w:t>
            </w:r>
          </w:p>
        </w:tc>
        <w:tc>
          <w:tcPr>
            <w:tcW w:w="2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2101101</w:t>
            </w:r>
          </w:p>
        </w:tc>
        <w:tc>
          <w:tcPr>
            <w:tcW w:w="2577" w:type="dxa"/>
            <w:tcBorders>
              <w:top w:val="nil"/>
              <w:left w:val="nil"/>
              <w:bottom w:val="single" w:color="auto" w:sz="4" w:space="0"/>
              <w:right w:val="single" w:color="auto" w:sz="4" w:space="0"/>
            </w:tcBorders>
            <w:noWrap w:val="0"/>
            <w:vAlign w:val="bottom"/>
          </w:tcPr>
          <w:p>
            <w:pPr>
              <w:widowControl/>
              <w:ind w:firstLine="360" w:firstLineChars="200"/>
              <w:jc w:val="left"/>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行政单位医疗</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2.92</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2.92</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2101103</w:t>
            </w:r>
          </w:p>
        </w:tc>
        <w:tc>
          <w:tcPr>
            <w:tcW w:w="257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公务员医疗补助</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0.98</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0.98</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221</w:t>
            </w:r>
          </w:p>
        </w:tc>
        <w:tc>
          <w:tcPr>
            <w:tcW w:w="257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5.94</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5.94</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22102</w:t>
            </w:r>
          </w:p>
        </w:tc>
        <w:tc>
          <w:tcPr>
            <w:tcW w:w="257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住房改革支出</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5.94</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5.94</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lang w:val="en-US"/>
              </w:rPr>
            </w:pPr>
            <w:r>
              <w:rPr>
                <w:rFonts w:hint="eastAsia" w:ascii="宋体" w:hAnsi="宋体" w:cs="宋体"/>
                <w:kern w:val="0"/>
                <w:sz w:val="22"/>
                <w:szCs w:val="22"/>
                <w:lang w:val="en-US" w:eastAsia="zh-CN"/>
              </w:rPr>
              <w:t>2210201</w:t>
            </w:r>
          </w:p>
        </w:tc>
        <w:tc>
          <w:tcPr>
            <w:tcW w:w="2577" w:type="dxa"/>
            <w:tcBorders>
              <w:top w:val="nil"/>
              <w:left w:val="nil"/>
              <w:bottom w:val="single" w:color="auto" w:sz="4" w:space="0"/>
              <w:right w:val="single" w:color="auto" w:sz="4" w:space="0"/>
            </w:tcBorders>
            <w:noWrap w:val="0"/>
            <w:vAlign w:val="bottom"/>
          </w:tcPr>
          <w:p>
            <w:pPr>
              <w:widowControl/>
              <w:ind w:firstLine="540" w:firstLineChars="300"/>
              <w:jc w:val="left"/>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住房</w:t>
            </w:r>
            <w:r>
              <w:rPr>
                <w:rFonts w:hint="eastAsia" w:ascii="宋体" w:hAnsi="宋体" w:cs="宋体"/>
                <w:i w:val="0"/>
                <w:color w:val="000000"/>
                <w:kern w:val="0"/>
                <w:sz w:val="18"/>
                <w:szCs w:val="18"/>
                <w:u w:val="none"/>
                <w:lang w:val="en-US" w:eastAsia="zh-CN" w:bidi="ar"/>
              </w:rPr>
              <w:t>公积金</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4.48</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4.48</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2210202</w:t>
            </w:r>
          </w:p>
        </w:tc>
        <w:tc>
          <w:tcPr>
            <w:tcW w:w="257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提租补贴</w:t>
            </w: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1.46</w:t>
            </w:r>
          </w:p>
        </w:tc>
        <w:tc>
          <w:tcPr>
            <w:tcW w:w="159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r>
              <w:rPr>
                <w:rFonts w:hint="eastAsia" w:ascii="宋体" w:hAnsi="宋体" w:cs="宋体"/>
                <w:kern w:val="0"/>
                <w:sz w:val="24"/>
                <w:lang w:val="en-US" w:eastAsia="zh-CN"/>
              </w:rPr>
              <w:t>1.46</w:t>
            </w:r>
          </w:p>
        </w:tc>
        <w:tc>
          <w:tcPr>
            <w:tcW w:w="200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2577" w:type="dxa"/>
            <w:tcBorders>
              <w:top w:val="single" w:color="auto" w:sz="4" w:space="0"/>
              <w:left w:val="single" w:color="auto" w:sz="4" w:space="0"/>
              <w:bottom w:val="single" w:color="auto" w:sz="4" w:space="0"/>
              <w:right w:val="single" w:color="auto" w:sz="4" w:space="0"/>
            </w:tcBorders>
            <w:noWrap w:val="0"/>
            <w:vAlign w:val="bottom"/>
          </w:tcPr>
          <w:p>
            <w:pPr>
              <w:widowControl/>
              <w:jc w:val="left"/>
            </w:pPr>
          </w:p>
        </w:tc>
        <w:tc>
          <w:tcPr>
            <w:tcW w:w="141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120.30</w:t>
            </w:r>
          </w:p>
        </w:tc>
        <w:tc>
          <w:tcPr>
            <w:tcW w:w="15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75.30</w:t>
            </w:r>
          </w:p>
        </w:tc>
        <w:tc>
          <w:tcPr>
            <w:tcW w:w="2006"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w:t>
            </w:r>
          </w:p>
        </w:tc>
      </w:tr>
    </w:tbl>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both"/>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部门公开表3</w:t>
      </w:r>
    </w:p>
    <w:p>
      <w:pPr>
        <w:pStyle w:val="3"/>
        <w:adjustRightInd w:val="0"/>
        <w:snapToGrid w:val="0"/>
        <w:spacing w:before="0" w:beforeAutospacing="0" w:after="0" w:afterAutospacing="0" w:line="360" w:lineRule="auto"/>
        <w:jc w:val="center"/>
        <w:rPr>
          <w:rFonts w:hint="eastAsia" w:ascii="黑体" w:hAnsi="黑体" w:eastAsia="黑体"/>
          <w:bCs/>
          <w:sz w:val="18"/>
          <w:szCs w:val="18"/>
        </w:rPr>
      </w:pPr>
    </w:p>
    <w:tbl>
      <w:tblPr>
        <w:tblStyle w:val="6"/>
        <w:tblW w:w="8655" w:type="dxa"/>
        <w:tblInd w:w="93" w:type="dxa"/>
        <w:tblLayout w:type="fixed"/>
        <w:tblCellMar>
          <w:top w:w="0" w:type="dxa"/>
          <w:left w:w="108" w:type="dxa"/>
          <w:bottom w:w="0" w:type="dxa"/>
          <w:right w:w="108" w:type="dxa"/>
        </w:tblCellMar>
      </w:tblPr>
      <w:tblGrid>
        <w:gridCol w:w="2398"/>
        <w:gridCol w:w="3737"/>
        <w:gridCol w:w="2520"/>
      </w:tblGrid>
      <w:tr>
        <w:tblPrEx>
          <w:tblLayout w:type="fixed"/>
          <w:tblCellMar>
            <w:top w:w="0" w:type="dxa"/>
            <w:left w:w="108" w:type="dxa"/>
            <w:bottom w:w="0" w:type="dxa"/>
            <w:right w:w="108" w:type="dxa"/>
          </w:tblCellMar>
        </w:tblPrEx>
        <w:trPr>
          <w:trHeight w:val="510" w:hRule="atLeast"/>
        </w:trPr>
        <w:tc>
          <w:tcPr>
            <w:tcW w:w="8655" w:type="dxa"/>
            <w:gridSpan w:val="3"/>
            <w:tcBorders>
              <w:top w:val="nil"/>
              <w:left w:val="nil"/>
              <w:bottom w:val="nil"/>
              <w:right w:val="nil"/>
            </w:tcBorders>
            <w:noWrap w:val="0"/>
            <w:vAlign w:val="bottom"/>
          </w:tcPr>
          <w:p>
            <w:pPr>
              <w:widowControl/>
              <w:jc w:val="center"/>
              <w:rPr>
                <w:rFonts w:ascii="华文中宋" w:hAnsi="华文中宋" w:eastAsia="华文中宋" w:cs="宋体"/>
                <w:b/>
                <w:bCs/>
                <w:color w:val="000000"/>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color w:val="000000"/>
                <w:kern w:val="0"/>
                <w:sz w:val="36"/>
                <w:szCs w:val="36"/>
              </w:rPr>
              <w:t>2019年一般公共预算基本支出表</w:t>
            </w:r>
          </w:p>
        </w:tc>
      </w:tr>
      <w:tr>
        <w:tblPrEx>
          <w:tblLayout w:type="fixed"/>
          <w:tblCellMar>
            <w:top w:w="0" w:type="dxa"/>
            <w:left w:w="108" w:type="dxa"/>
            <w:bottom w:w="0" w:type="dxa"/>
            <w:right w:w="108" w:type="dxa"/>
          </w:tblCellMar>
        </w:tblPrEx>
        <w:trPr>
          <w:trHeight w:val="435" w:hRule="atLeast"/>
        </w:trPr>
        <w:tc>
          <w:tcPr>
            <w:tcW w:w="2398" w:type="dxa"/>
            <w:tcBorders>
              <w:top w:val="nil"/>
              <w:left w:val="nil"/>
              <w:bottom w:val="nil"/>
              <w:right w:val="nil"/>
            </w:tcBorders>
            <w:noWrap w:val="0"/>
            <w:vAlign w:val="bottom"/>
          </w:tcPr>
          <w:p>
            <w:pPr>
              <w:widowControl/>
              <w:jc w:val="left"/>
              <w:rPr>
                <w:rFonts w:ascii="宋体" w:hAnsi="宋体" w:cs="宋体"/>
                <w:color w:val="000000"/>
                <w:kern w:val="0"/>
                <w:sz w:val="22"/>
                <w:szCs w:val="22"/>
              </w:rPr>
            </w:pPr>
          </w:p>
        </w:tc>
        <w:tc>
          <w:tcPr>
            <w:tcW w:w="3737" w:type="dxa"/>
            <w:tcBorders>
              <w:top w:val="nil"/>
              <w:left w:val="nil"/>
              <w:bottom w:val="nil"/>
              <w:right w:val="nil"/>
            </w:tcBorders>
            <w:noWrap w:val="0"/>
            <w:vAlign w:val="bottom"/>
          </w:tcPr>
          <w:p>
            <w:pPr>
              <w:widowControl/>
              <w:jc w:val="left"/>
              <w:rPr>
                <w:rFonts w:ascii="宋体" w:hAnsi="宋体" w:cs="宋体"/>
                <w:color w:val="000000"/>
                <w:kern w:val="0"/>
                <w:sz w:val="22"/>
                <w:szCs w:val="22"/>
              </w:rPr>
            </w:pPr>
          </w:p>
        </w:tc>
        <w:tc>
          <w:tcPr>
            <w:tcW w:w="2520" w:type="dxa"/>
            <w:tcBorders>
              <w:top w:val="nil"/>
              <w:left w:val="nil"/>
              <w:bottom w:val="nil"/>
              <w:right w:val="nil"/>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20" w:hRule="atLeast"/>
        </w:trPr>
        <w:tc>
          <w:tcPr>
            <w:tcW w:w="61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经济分类科目</w:t>
            </w:r>
          </w:p>
        </w:tc>
        <w:tc>
          <w:tcPr>
            <w:tcW w:w="25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预算数</w:t>
            </w:r>
          </w:p>
        </w:tc>
      </w:tr>
      <w:tr>
        <w:tblPrEx>
          <w:tblLayout w:type="fixed"/>
          <w:tblCellMar>
            <w:top w:w="0" w:type="dxa"/>
            <w:left w:w="108" w:type="dxa"/>
            <w:bottom w:w="0" w:type="dxa"/>
            <w:right w:w="108" w:type="dxa"/>
          </w:tblCellMar>
        </w:tblPrEx>
        <w:trPr>
          <w:trHeight w:val="420"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37"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25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工资福利支出</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60.46</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30101</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基本工资</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21.44</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30102</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津贴补贴</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17.37</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30103</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奖金</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1.79</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30106</w:t>
            </w:r>
          </w:p>
        </w:tc>
        <w:tc>
          <w:tcPr>
            <w:tcW w:w="37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xml:space="preserve">  伙食补助</w:t>
            </w:r>
            <w:r>
              <w:rPr>
                <w:rFonts w:hint="eastAsia" w:ascii="宋体" w:hAnsi="宋体" w:cs="宋体"/>
                <w:color w:val="000000"/>
                <w:kern w:val="0"/>
                <w:sz w:val="22"/>
                <w:szCs w:val="22"/>
                <w:lang w:eastAsia="zh-CN"/>
              </w:rPr>
              <w:t>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3.86</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30108</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机关事业单位基本养老保险缴费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7.47</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30110</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城镇职工基本医疗保险缴费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2.92</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30111</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公务员医疗补助缴费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0.98</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30112</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其他社会保障缴费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0.15</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30113</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住房公积金</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4.48</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商品和服务支出</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14.64</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30201</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办公费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xml:space="preserve"> 3020</w:t>
            </w:r>
            <w:r>
              <w:rPr>
                <w:rFonts w:hint="eastAsia" w:ascii="宋体" w:hAnsi="宋体" w:cs="宋体"/>
                <w:color w:val="000000"/>
                <w:kern w:val="0"/>
                <w:sz w:val="22"/>
                <w:szCs w:val="22"/>
                <w:lang w:val="en-US" w:eastAsia="zh-CN"/>
              </w:rPr>
              <w:t>7</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邮电费</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0.30</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xml:space="preserve"> 302</w:t>
            </w:r>
            <w:r>
              <w:rPr>
                <w:rFonts w:hint="eastAsia" w:ascii="宋体" w:hAnsi="宋体" w:cs="宋体"/>
                <w:color w:val="000000"/>
                <w:kern w:val="0"/>
                <w:sz w:val="22"/>
                <w:szCs w:val="22"/>
                <w:lang w:val="en-US" w:eastAsia="zh-CN"/>
              </w:rPr>
              <w:t>15</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会议费</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3.00</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xml:space="preserve"> 302</w:t>
            </w:r>
            <w:r>
              <w:rPr>
                <w:rFonts w:hint="eastAsia" w:ascii="宋体" w:hAnsi="宋体" w:cs="宋体"/>
                <w:color w:val="000000"/>
                <w:kern w:val="0"/>
                <w:sz w:val="22"/>
                <w:szCs w:val="22"/>
                <w:lang w:val="en-US" w:eastAsia="zh-CN"/>
              </w:rPr>
              <w:t>17</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公务接待费</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1.00</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30228</w:t>
            </w:r>
          </w:p>
        </w:tc>
        <w:tc>
          <w:tcPr>
            <w:tcW w:w="3737"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工会经费</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0.75</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30229</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福利费</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0.04</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30239</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其他交通费用</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7.07</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w:t>
            </w:r>
          </w:p>
        </w:tc>
        <w:tc>
          <w:tcPr>
            <w:tcW w:w="373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对个人和家庭的补助　</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0.20</w:t>
            </w:r>
          </w:p>
        </w:tc>
      </w:tr>
      <w:tr>
        <w:tblPrEx>
          <w:tblLayout w:type="fixed"/>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30302</w:t>
            </w:r>
          </w:p>
        </w:tc>
        <w:tc>
          <w:tcPr>
            <w:tcW w:w="3737" w:type="dxa"/>
            <w:tcBorders>
              <w:top w:val="nil"/>
              <w:left w:val="nil"/>
              <w:bottom w:val="single" w:color="auto" w:sz="4" w:space="0"/>
              <w:right w:val="single" w:color="auto" w:sz="4" w:space="0"/>
            </w:tcBorders>
            <w:noWrap w:val="0"/>
            <w:vAlign w:val="center"/>
          </w:tcPr>
          <w:p>
            <w:pPr>
              <w:widowControl/>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退休费　</w:t>
            </w:r>
          </w:p>
        </w:tc>
        <w:tc>
          <w:tcPr>
            <w:tcW w:w="2520"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0.20</w:t>
            </w:r>
          </w:p>
        </w:tc>
      </w:tr>
      <w:tr>
        <w:tblPrEx>
          <w:tblLayout w:type="fixed"/>
          <w:tblCellMar>
            <w:top w:w="0" w:type="dxa"/>
            <w:left w:w="108" w:type="dxa"/>
            <w:bottom w:w="0" w:type="dxa"/>
            <w:right w:w="108" w:type="dxa"/>
          </w:tblCellMar>
        </w:tblPrEx>
        <w:trPr>
          <w:trHeight w:val="402" w:hRule="atLeast"/>
        </w:trPr>
        <w:tc>
          <w:tcPr>
            <w:tcW w:w="61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252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75.30</w:t>
            </w:r>
          </w:p>
        </w:tc>
      </w:tr>
    </w:tbl>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部门公开表4</w:t>
      </w:r>
    </w:p>
    <w:p>
      <w:pPr>
        <w:pStyle w:val="3"/>
        <w:adjustRightInd w:val="0"/>
        <w:snapToGrid w:val="0"/>
        <w:spacing w:before="0" w:beforeAutospacing="0" w:after="0" w:afterAutospacing="0" w:line="360" w:lineRule="auto"/>
        <w:jc w:val="right"/>
        <w:rPr>
          <w:rFonts w:hint="eastAsia" w:ascii="黑体" w:hAnsi="黑体" w:eastAsia="黑体"/>
          <w:bCs/>
          <w:sz w:val="10"/>
          <w:szCs w:val="10"/>
        </w:rPr>
      </w:pPr>
    </w:p>
    <w:tbl>
      <w:tblPr>
        <w:tblStyle w:val="6"/>
        <w:tblW w:w="9114" w:type="dxa"/>
        <w:tblInd w:w="0" w:type="dxa"/>
        <w:tblLayout w:type="fixed"/>
        <w:tblCellMar>
          <w:top w:w="0" w:type="dxa"/>
          <w:left w:w="108" w:type="dxa"/>
          <w:bottom w:w="0" w:type="dxa"/>
          <w:right w:w="108" w:type="dxa"/>
        </w:tblCellMar>
      </w:tblPr>
      <w:tblGrid>
        <w:gridCol w:w="473"/>
        <w:gridCol w:w="715"/>
        <w:gridCol w:w="3960"/>
        <w:gridCol w:w="956"/>
        <w:gridCol w:w="124"/>
        <w:gridCol w:w="720"/>
        <w:gridCol w:w="540"/>
        <w:gridCol w:w="1260"/>
        <w:gridCol w:w="366"/>
      </w:tblGrid>
      <w:tr>
        <w:tblPrEx>
          <w:tblLayout w:type="fixed"/>
          <w:tblCellMar>
            <w:top w:w="0" w:type="dxa"/>
            <w:left w:w="108" w:type="dxa"/>
            <w:bottom w:w="0" w:type="dxa"/>
            <w:right w:w="108" w:type="dxa"/>
          </w:tblCellMar>
        </w:tblPrEx>
        <w:trPr>
          <w:trHeight w:val="510" w:hRule="atLeast"/>
        </w:trPr>
        <w:tc>
          <w:tcPr>
            <w:tcW w:w="9114" w:type="dxa"/>
            <w:gridSpan w:val="9"/>
            <w:tcBorders>
              <w:top w:val="nil"/>
              <w:left w:val="nil"/>
              <w:bottom w:val="nil"/>
              <w:right w:val="nil"/>
            </w:tcBorders>
            <w:noWrap w:val="0"/>
            <w:vAlign w:val="center"/>
          </w:tcPr>
          <w:p>
            <w:pPr>
              <w:widowControl/>
              <w:jc w:val="center"/>
              <w:rPr>
                <w:rFonts w:hint="eastAsia" w:ascii="华文中宋" w:hAnsi="华文中宋" w:eastAsia="华文中宋" w:cs="宋体"/>
                <w:b/>
                <w:bCs/>
                <w:kern w:val="0"/>
                <w:sz w:val="36"/>
                <w:szCs w:val="36"/>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2019年政府性基金预算支出表</w:t>
            </w:r>
          </w:p>
        </w:tc>
      </w:tr>
      <w:tr>
        <w:tblPrEx>
          <w:tblLayout w:type="fixed"/>
          <w:tblCellMar>
            <w:top w:w="0" w:type="dxa"/>
            <w:left w:w="108" w:type="dxa"/>
            <w:bottom w:w="0" w:type="dxa"/>
            <w:right w:w="108" w:type="dxa"/>
          </w:tblCellMar>
        </w:tblPrEx>
        <w:trPr>
          <w:gridAfter w:val="1"/>
          <w:wAfter w:w="366" w:type="dxa"/>
          <w:trHeight w:val="375" w:hRule="atLeast"/>
        </w:trPr>
        <w:tc>
          <w:tcPr>
            <w:tcW w:w="473" w:type="dxa"/>
            <w:tcBorders>
              <w:top w:val="nil"/>
              <w:left w:val="nil"/>
              <w:bottom w:val="nil"/>
              <w:right w:val="nil"/>
            </w:tcBorders>
            <w:noWrap w:val="0"/>
            <w:vAlign w:val="center"/>
          </w:tcPr>
          <w:p>
            <w:pPr>
              <w:widowControl/>
              <w:jc w:val="left"/>
              <w:rPr>
                <w:rFonts w:hint="eastAsia" w:ascii="宋体" w:hAnsi="宋体" w:cs="宋体"/>
                <w:kern w:val="0"/>
                <w:sz w:val="18"/>
                <w:szCs w:val="18"/>
              </w:rPr>
            </w:pPr>
          </w:p>
        </w:tc>
        <w:tc>
          <w:tcPr>
            <w:tcW w:w="715" w:type="dxa"/>
            <w:tcBorders>
              <w:top w:val="nil"/>
              <w:left w:val="nil"/>
              <w:bottom w:val="nil"/>
              <w:right w:val="nil"/>
            </w:tcBorders>
            <w:noWrap w:val="0"/>
            <w:vAlign w:val="center"/>
          </w:tcPr>
          <w:p>
            <w:pPr>
              <w:widowControl/>
              <w:jc w:val="left"/>
              <w:rPr>
                <w:rFonts w:hint="eastAsia" w:ascii="宋体" w:hAnsi="宋体" w:cs="宋体"/>
                <w:kern w:val="0"/>
                <w:sz w:val="20"/>
                <w:szCs w:val="20"/>
              </w:rPr>
            </w:pPr>
          </w:p>
        </w:tc>
        <w:tc>
          <w:tcPr>
            <w:tcW w:w="3960" w:type="dxa"/>
            <w:tcBorders>
              <w:top w:val="nil"/>
              <w:left w:val="nil"/>
              <w:bottom w:val="nil"/>
              <w:right w:val="nil"/>
            </w:tcBorders>
            <w:noWrap w:val="0"/>
            <w:vAlign w:val="center"/>
          </w:tcPr>
          <w:p>
            <w:pPr>
              <w:widowControl/>
              <w:rPr>
                <w:rFonts w:ascii="宋体" w:hAnsi="宋体" w:cs="宋体"/>
                <w:kern w:val="0"/>
                <w:sz w:val="20"/>
                <w:szCs w:val="20"/>
              </w:rPr>
            </w:pPr>
          </w:p>
        </w:tc>
        <w:tc>
          <w:tcPr>
            <w:tcW w:w="95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844" w:type="dxa"/>
            <w:gridSpan w:val="2"/>
            <w:tcBorders>
              <w:top w:val="nil"/>
              <w:left w:val="nil"/>
              <w:bottom w:val="nil"/>
              <w:right w:val="nil"/>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w:t>
            </w:r>
          </w:p>
        </w:tc>
        <w:tc>
          <w:tcPr>
            <w:tcW w:w="1800" w:type="dxa"/>
            <w:gridSpan w:val="2"/>
            <w:tcBorders>
              <w:top w:val="nil"/>
              <w:left w:val="nil"/>
              <w:bottom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gridAfter w:val="1"/>
          <w:wAfter w:w="366" w:type="dxa"/>
          <w:trHeight w:val="405" w:hRule="atLeast"/>
        </w:trPr>
        <w:tc>
          <w:tcPr>
            <w:tcW w:w="514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2"/>
                <w:szCs w:val="22"/>
              </w:rPr>
              <w:t>功能分类科目</w:t>
            </w:r>
          </w:p>
        </w:tc>
        <w:tc>
          <w:tcPr>
            <w:tcW w:w="360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b/>
                <w:bCs/>
                <w:kern w:val="0"/>
                <w:sz w:val="22"/>
                <w:szCs w:val="22"/>
              </w:rPr>
              <w:t>政府性基金预算拨款支出</w:t>
            </w:r>
          </w:p>
        </w:tc>
      </w:tr>
      <w:tr>
        <w:tblPrEx>
          <w:tblLayout w:type="fixed"/>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Layout w:type="fixed"/>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r>
    </w:tbl>
    <w:p>
      <w:pPr>
        <w:pStyle w:val="3"/>
        <w:adjustRightInd w:val="0"/>
        <w:snapToGrid w:val="0"/>
        <w:spacing w:before="0" w:beforeAutospacing="0" w:after="0" w:afterAutospacing="0" w:line="360" w:lineRule="auto"/>
        <w:jc w:val="left"/>
        <w:rPr>
          <w:rFonts w:hint="eastAsia"/>
        </w:rPr>
      </w:pPr>
    </w:p>
    <w:p>
      <w:pPr>
        <w:pStyle w:val="3"/>
        <w:adjustRightInd w:val="0"/>
        <w:snapToGrid w:val="0"/>
        <w:spacing w:before="0" w:beforeAutospacing="0" w:after="0" w:afterAutospacing="0" w:line="360" w:lineRule="auto"/>
        <w:jc w:val="left"/>
        <w:rPr>
          <w:rFonts w:hint="eastAsia" w:ascii="黑体" w:hAnsi="黑体" w:eastAsia="黑体"/>
          <w:bCs/>
          <w:sz w:val="36"/>
          <w:szCs w:val="36"/>
        </w:rPr>
      </w:pPr>
      <w:r>
        <w:rPr>
          <w:rFonts w:hint="eastAsia"/>
        </w:rPr>
        <w:t>注：宿州市</w:t>
      </w:r>
      <w:r>
        <w:rPr>
          <w:rFonts w:hint="eastAsia"/>
          <w:lang w:eastAsia="zh-CN"/>
        </w:rPr>
        <w:t>红十字会</w:t>
      </w:r>
      <w:r>
        <w:rPr>
          <w:rFonts w:hint="eastAsia"/>
        </w:rPr>
        <w:t>没有政府性基金预算拨款收入，也没有政府性基金预算支出，故本表无数据。</w:t>
      </w: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部门公开表5</w:t>
      </w:r>
    </w:p>
    <w:p>
      <w:pPr>
        <w:pStyle w:val="3"/>
        <w:adjustRightInd w:val="0"/>
        <w:snapToGrid w:val="0"/>
        <w:spacing w:before="0" w:beforeAutospacing="0" w:after="0" w:afterAutospacing="0" w:line="360" w:lineRule="auto"/>
        <w:jc w:val="center"/>
        <w:rPr>
          <w:rFonts w:hint="eastAsia" w:ascii="黑体" w:hAnsi="黑体" w:eastAsia="黑体"/>
          <w:bCs/>
          <w:sz w:val="18"/>
          <w:szCs w:val="18"/>
        </w:rPr>
      </w:pPr>
    </w:p>
    <w:tbl>
      <w:tblPr>
        <w:tblStyle w:val="6"/>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Layout w:type="fixed"/>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noWrap w:val="0"/>
            <w:vAlign w:val="center"/>
          </w:tcPr>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2019年国有资本经营预算支出表</w:t>
            </w:r>
          </w:p>
        </w:tc>
      </w:tr>
      <w:tr>
        <w:tblPrEx>
          <w:tblLayout w:type="fixed"/>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noWrap w:val="0"/>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3780"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23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2645" w:type="dxa"/>
            <w:gridSpan w:val="3"/>
            <w:tcBorders>
              <w:top w:val="nil"/>
              <w:left w:val="nil"/>
              <w:bottom w:val="nil"/>
              <w:right w:val="nil"/>
            </w:tcBorders>
            <w:noWrap w:val="0"/>
            <w:vAlign w:val="center"/>
          </w:tcPr>
          <w:p>
            <w:pPr>
              <w:widowControl/>
              <w:jc w:val="left"/>
              <w:rPr>
                <w:rFonts w:ascii="宋体" w:hAnsi="宋体" w:cs="宋体"/>
                <w:kern w:val="0"/>
                <w:sz w:val="20"/>
                <w:szCs w:val="20"/>
              </w:rPr>
            </w:pPr>
          </w:p>
        </w:tc>
        <w:tc>
          <w:tcPr>
            <w:tcW w:w="1315" w:type="dxa"/>
            <w:gridSpan w:val="3"/>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2"/>
                <w:szCs w:val="22"/>
              </w:rPr>
              <w:t>功能分类科目</w:t>
            </w:r>
          </w:p>
        </w:tc>
        <w:tc>
          <w:tcPr>
            <w:tcW w:w="396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b/>
                <w:bCs/>
                <w:kern w:val="0"/>
                <w:sz w:val="22"/>
                <w:szCs w:val="22"/>
              </w:rPr>
              <w:t>国有资本经营预算拨款支出</w:t>
            </w:r>
          </w:p>
        </w:tc>
      </w:tr>
      <w:tr>
        <w:tblPrEx>
          <w:tblLayout w:type="fixed"/>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Layout w:type="fixed"/>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Cs/>
                <w:kern w:val="0"/>
                <w:sz w:val="22"/>
                <w:szCs w:val="22"/>
              </w:rPr>
            </w:pPr>
          </w:p>
        </w:tc>
        <w:tc>
          <w:tcPr>
            <w:tcW w:w="37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Cs/>
                <w:kern w:val="0"/>
                <w:sz w:val="22"/>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bl>
    <w:p>
      <w:pPr>
        <w:pStyle w:val="3"/>
        <w:adjustRightInd w:val="0"/>
        <w:snapToGrid w:val="0"/>
        <w:spacing w:before="0" w:beforeAutospacing="0" w:after="0" w:afterAutospacing="0" w:line="360" w:lineRule="auto"/>
        <w:jc w:val="both"/>
        <w:rPr>
          <w:rFonts w:hint="eastAsia" w:ascii="宋体" w:hAnsi="宋体" w:cs="宋体"/>
          <w:kern w:val="0"/>
          <w:sz w:val="24"/>
        </w:rPr>
      </w:pPr>
    </w:p>
    <w:p>
      <w:pPr>
        <w:pStyle w:val="3"/>
        <w:adjustRightInd w:val="0"/>
        <w:snapToGrid w:val="0"/>
        <w:spacing w:before="0" w:beforeAutospacing="0" w:after="0" w:afterAutospacing="0" w:line="360" w:lineRule="auto"/>
        <w:jc w:val="both"/>
        <w:rPr>
          <w:rFonts w:hint="eastAsia" w:ascii="黑体" w:hAnsi="黑体" w:eastAsia="黑体"/>
          <w:bCs/>
          <w:sz w:val="36"/>
          <w:szCs w:val="36"/>
        </w:rPr>
      </w:pPr>
      <w:r>
        <w:rPr>
          <w:rFonts w:hint="eastAsia" w:ascii="宋体" w:hAnsi="宋体" w:cs="宋体"/>
          <w:kern w:val="0"/>
          <w:sz w:val="24"/>
        </w:rPr>
        <w:t>注：</w:t>
      </w:r>
      <w:r>
        <w:rPr>
          <w:rFonts w:hint="eastAsia"/>
        </w:rPr>
        <w:t>宿州市</w:t>
      </w:r>
      <w:r>
        <w:rPr>
          <w:rFonts w:hint="eastAsia"/>
          <w:lang w:eastAsia="zh-CN"/>
        </w:rPr>
        <w:t>红十字会</w:t>
      </w:r>
      <w:r>
        <w:rPr>
          <w:rFonts w:hint="eastAsia" w:ascii="宋体" w:hAnsi="宋体" w:cs="宋体"/>
          <w:kern w:val="0"/>
          <w:sz w:val="24"/>
        </w:rPr>
        <w:t>没有国有资本经营预算拨款收入，也没有国有资本经营预算支出，故本表无数据。</w:t>
      </w: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center"/>
        <w:rPr>
          <w:rFonts w:hint="eastAsia" w:ascii="黑体" w:hAnsi="黑体" w:eastAsia="黑体"/>
          <w:bCs/>
          <w:sz w:val="10"/>
          <w:szCs w:val="10"/>
        </w:rPr>
      </w:pPr>
    </w:p>
    <w:p>
      <w:pPr>
        <w:pStyle w:val="3"/>
        <w:adjustRightInd w:val="0"/>
        <w:snapToGrid w:val="0"/>
        <w:spacing w:before="0" w:beforeAutospacing="0" w:after="0" w:afterAutospacing="0" w:line="360" w:lineRule="auto"/>
        <w:jc w:val="both"/>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部门公开表6</w:t>
      </w:r>
    </w:p>
    <w:tbl>
      <w:tblPr>
        <w:tblStyle w:val="6"/>
        <w:tblW w:w="9158" w:type="dxa"/>
        <w:tblInd w:w="-252" w:type="dxa"/>
        <w:tblLayout w:type="fixed"/>
        <w:tblCellMar>
          <w:top w:w="0" w:type="dxa"/>
          <w:left w:w="108" w:type="dxa"/>
          <w:bottom w:w="0" w:type="dxa"/>
          <w:right w:w="108" w:type="dxa"/>
        </w:tblCellMar>
      </w:tblPr>
      <w:tblGrid>
        <w:gridCol w:w="3420"/>
        <w:gridCol w:w="624"/>
        <w:gridCol w:w="636"/>
        <w:gridCol w:w="3229"/>
        <w:gridCol w:w="1249"/>
      </w:tblGrid>
      <w:tr>
        <w:tblPrEx>
          <w:tblLayout w:type="fixed"/>
          <w:tblCellMar>
            <w:top w:w="0" w:type="dxa"/>
            <w:left w:w="108" w:type="dxa"/>
            <w:bottom w:w="0" w:type="dxa"/>
            <w:right w:w="108" w:type="dxa"/>
          </w:tblCellMar>
        </w:tblPrEx>
        <w:trPr>
          <w:trHeight w:val="525" w:hRule="atLeast"/>
        </w:trPr>
        <w:tc>
          <w:tcPr>
            <w:tcW w:w="9158" w:type="dxa"/>
            <w:gridSpan w:val="5"/>
            <w:tcBorders>
              <w:top w:val="nil"/>
              <w:left w:val="nil"/>
              <w:bottom w:val="nil"/>
              <w:right w:val="nil"/>
            </w:tcBorders>
            <w:noWrap w:val="0"/>
            <w:vAlign w:val="center"/>
          </w:tcPr>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2019年收支总表</w:t>
            </w:r>
          </w:p>
        </w:tc>
      </w:tr>
      <w:tr>
        <w:tblPrEx>
          <w:tblLayout w:type="fixed"/>
          <w:tblCellMar>
            <w:top w:w="0" w:type="dxa"/>
            <w:left w:w="108" w:type="dxa"/>
            <w:bottom w:w="0" w:type="dxa"/>
            <w:right w:w="108" w:type="dxa"/>
          </w:tblCellMar>
        </w:tblPrEx>
        <w:trPr>
          <w:trHeight w:val="379" w:hRule="atLeast"/>
        </w:trPr>
        <w:tc>
          <w:tcPr>
            <w:tcW w:w="4044" w:type="dxa"/>
            <w:gridSpan w:val="2"/>
            <w:tcBorders>
              <w:top w:val="nil"/>
              <w:left w:val="nil"/>
              <w:bottom w:val="nil"/>
              <w:right w:val="nil"/>
            </w:tcBorders>
            <w:noWrap w:val="0"/>
            <w:vAlign w:val="center"/>
          </w:tcPr>
          <w:p>
            <w:pPr>
              <w:widowControl/>
              <w:jc w:val="left"/>
              <w:rPr>
                <w:rFonts w:ascii="宋体" w:hAnsi="宋体" w:cs="宋体"/>
                <w:kern w:val="0"/>
                <w:sz w:val="20"/>
                <w:szCs w:val="20"/>
              </w:rPr>
            </w:pPr>
          </w:p>
        </w:tc>
        <w:tc>
          <w:tcPr>
            <w:tcW w:w="63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3229"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49"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284" w:hRule="atLeast"/>
        </w:trPr>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收  入             </w:t>
            </w:r>
          </w:p>
        </w:tc>
        <w:tc>
          <w:tcPr>
            <w:tcW w:w="44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120.30</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二、政府性基金预算拨款收入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三、国有资本经营预算拨款收入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三、国防支出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四、财政专户管理非税收入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五、其他收入</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六、科学技术支出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七、文化旅游体育与传媒支出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八、社会保障和就业支出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110.46</w:t>
            </w: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九、卫生健康支出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3.90</w:t>
            </w: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十、节能环保支出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十一、城乡社区支出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十二、农林水支出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十三、交通运输支出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十四、资源勘探信息等支出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十五、商业服务业等支出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十六、金融支出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十七、援助其他地区支出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十八、自然资源海洋气象等支出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十九、住房保障支出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5.94</w:t>
            </w: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二十、粮油物资储备支出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二十一、灾害防治及应急管理支出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二十二、其他支出</w:t>
            </w:r>
          </w:p>
        </w:tc>
        <w:tc>
          <w:tcPr>
            <w:tcW w:w="124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二十三、债务还本支出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二十四、债务付息支出</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4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本年收入小计</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kern w:val="0"/>
                <w:sz w:val="22"/>
                <w:szCs w:val="22"/>
                <w:lang w:val="en-US" w:eastAsia="zh-CN"/>
              </w:rPr>
              <w:t>120.30</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本年支出小计</w:t>
            </w:r>
          </w:p>
        </w:tc>
        <w:tc>
          <w:tcPr>
            <w:tcW w:w="124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120.30</w:t>
            </w:r>
          </w:p>
        </w:tc>
      </w:tr>
      <w:tr>
        <w:tblPrEx>
          <w:tblLayout w:type="fixed"/>
          <w:tblCellMar>
            <w:top w:w="0" w:type="dxa"/>
            <w:left w:w="108" w:type="dxa"/>
            <w:bottom w:w="0" w:type="dxa"/>
            <w:right w:w="108" w:type="dxa"/>
          </w:tblCellMar>
        </w:tblPrEx>
        <w:trPr>
          <w:trHeight w:val="90"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上年结转</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结转下年</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财政专户</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财政专户</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其他</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其他</w:t>
            </w:r>
          </w:p>
        </w:tc>
        <w:tc>
          <w:tcPr>
            <w:tcW w:w="124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4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收入总计</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120.30</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支出总计</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120.30</w:t>
            </w:r>
          </w:p>
        </w:tc>
      </w:tr>
    </w:tbl>
    <w:p>
      <w:pPr>
        <w:widowControl/>
        <w:rPr>
          <w:rFonts w:hint="eastAsia" w:ascii="华文中宋" w:hAnsi="华文中宋" w:eastAsia="华文中宋" w:cs="宋体"/>
          <w:b/>
          <w:bCs/>
          <w:kern w:val="0"/>
          <w:sz w:val="36"/>
          <w:szCs w:val="36"/>
          <w:u w:val="single"/>
        </w:rPr>
        <w:sectPr>
          <w:footerReference r:id="rId3" w:type="default"/>
          <w:pgSz w:w="11906" w:h="16838"/>
          <w:pgMar w:top="1440" w:right="1416" w:bottom="1440" w:left="1417" w:header="851" w:footer="992" w:gutter="0"/>
          <w:cols w:space="720" w:num="1"/>
          <w:docGrid w:type="lines" w:linePitch="312" w:charSpace="0"/>
        </w:sectPr>
      </w:pPr>
    </w:p>
    <w:tbl>
      <w:tblPr>
        <w:tblStyle w:val="6"/>
        <w:tblpPr w:leftFromText="180" w:rightFromText="180" w:horzAnchor="margin" w:tblpXSpec="center" w:tblpY="465"/>
        <w:tblW w:w="13607" w:type="dxa"/>
        <w:tblInd w:w="0" w:type="dxa"/>
        <w:tblLayout w:type="fixed"/>
        <w:tblCellMar>
          <w:top w:w="0" w:type="dxa"/>
          <w:left w:w="108" w:type="dxa"/>
          <w:bottom w:w="0" w:type="dxa"/>
          <w:right w:w="108" w:type="dxa"/>
        </w:tblCellMar>
      </w:tblPr>
      <w:tblGrid>
        <w:gridCol w:w="1365"/>
        <w:gridCol w:w="1984"/>
        <w:gridCol w:w="1619"/>
        <w:gridCol w:w="1440"/>
        <w:gridCol w:w="1260"/>
        <w:gridCol w:w="1440"/>
        <w:gridCol w:w="1619"/>
        <w:gridCol w:w="1440"/>
        <w:gridCol w:w="1440"/>
      </w:tblGrid>
      <w:tr>
        <w:tblPrEx>
          <w:tblLayout w:type="fixed"/>
          <w:tblCellMar>
            <w:top w:w="0" w:type="dxa"/>
            <w:left w:w="108" w:type="dxa"/>
            <w:bottom w:w="0" w:type="dxa"/>
            <w:right w:w="108" w:type="dxa"/>
          </w:tblCellMar>
        </w:tblPrEx>
        <w:trPr>
          <w:trHeight w:val="510" w:hRule="atLeast"/>
        </w:trPr>
        <w:tc>
          <w:tcPr>
            <w:tcW w:w="13607" w:type="dxa"/>
            <w:gridSpan w:val="9"/>
            <w:tcBorders>
              <w:top w:val="nil"/>
              <w:left w:val="nil"/>
              <w:bottom w:val="nil"/>
              <w:right w:val="nil"/>
            </w:tcBorders>
            <w:noWrap w:val="0"/>
            <w:vAlign w:val="center"/>
          </w:tcPr>
          <w:p>
            <w:pPr>
              <w:pStyle w:val="3"/>
              <w:adjustRightInd w:val="0"/>
              <w:snapToGrid w:val="0"/>
              <w:spacing w:before="0" w:beforeAutospacing="0" w:after="0" w:afterAutospacing="0" w:line="360" w:lineRule="auto"/>
              <w:ind w:right="1440"/>
              <w:rPr>
                <w:rFonts w:hint="eastAsia" w:ascii="黑体" w:hAnsi="黑体" w:eastAsia="黑体"/>
                <w:bCs/>
                <w:sz w:val="36"/>
                <w:szCs w:val="36"/>
              </w:rPr>
            </w:pPr>
            <w:r>
              <w:rPr>
                <w:rFonts w:hint="eastAsia" w:ascii="华文中宋" w:hAnsi="华文中宋" w:eastAsia="华文中宋"/>
                <w:b/>
                <w:bCs/>
                <w:color w:val="000000"/>
                <w:sz w:val="36"/>
                <w:szCs w:val="36"/>
              </w:rPr>
              <w:t xml:space="preserve">                  宿州市</w:t>
            </w:r>
            <w:r>
              <w:rPr>
                <w:rFonts w:hint="eastAsia" w:ascii="华文中宋" w:hAnsi="华文中宋" w:eastAsia="华文中宋"/>
                <w:b/>
                <w:bCs/>
                <w:color w:val="000000"/>
                <w:sz w:val="36"/>
                <w:szCs w:val="36"/>
                <w:lang w:eastAsia="zh-CN"/>
              </w:rPr>
              <w:t>红十字会</w:t>
            </w:r>
            <w:r>
              <w:rPr>
                <w:rFonts w:hint="eastAsia" w:ascii="华文中宋" w:hAnsi="华文中宋" w:eastAsia="华文中宋"/>
                <w:b/>
                <w:bCs/>
                <w:sz w:val="36"/>
                <w:szCs w:val="36"/>
              </w:rPr>
              <w:t>2019年收入预算总表</w:t>
            </w:r>
          </w:p>
          <w:p>
            <w:pPr>
              <w:ind w:right="420"/>
              <w:jc w:val="right"/>
              <w:rPr>
                <w:rFonts w:hint="eastAsia"/>
              </w:rPr>
            </w:pPr>
          </w:p>
        </w:tc>
      </w:tr>
      <w:tr>
        <w:tblPrEx>
          <w:tblLayout w:type="fixed"/>
          <w:tblCellMar>
            <w:top w:w="0" w:type="dxa"/>
            <w:left w:w="108" w:type="dxa"/>
            <w:bottom w:w="0" w:type="dxa"/>
            <w:right w:w="108" w:type="dxa"/>
          </w:tblCellMar>
        </w:tblPrEx>
        <w:trPr>
          <w:trHeight w:val="615" w:hRule="atLeast"/>
        </w:trPr>
        <w:tc>
          <w:tcPr>
            <w:tcW w:w="33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功能科目</w:t>
            </w:r>
          </w:p>
        </w:tc>
        <w:tc>
          <w:tcPr>
            <w:tcW w:w="1619"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44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上年结转</w:t>
            </w:r>
          </w:p>
        </w:tc>
        <w:tc>
          <w:tcPr>
            <w:tcW w:w="126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一般公共预算拨款收入</w:t>
            </w:r>
          </w:p>
        </w:tc>
        <w:tc>
          <w:tcPr>
            <w:tcW w:w="144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政府性基金预算拨款收入</w:t>
            </w:r>
          </w:p>
        </w:tc>
        <w:tc>
          <w:tcPr>
            <w:tcW w:w="161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国有资本经营预算拨款收入</w:t>
            </w:r>
          </w:p>
        </w:tc>
        <w:tc>
          <w:tcPr>
            <w:tcW w:w="144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财政专户管理非税收入</w:t>
            </w:r>
          </w:p>
        </w:tc>
        <w:tc>
          <w:tcPr>
            <w:tcW w:w="1440" w:type="dxa"/>
            <w:vMerge w:val="restart"/>
            <w:tcBorders>
              <w:top w:val="single" w:color="auto" w:sz="4" w:space="0"/>
              <w:left w:val="nil"/>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其他收入</w:t>
            </w:r>
          </w:p>
        </w:tc>
      </w:tr>
      <w:tr>
        <w:tblPrEx>
          <w:tblLayout w:type="fixed"/>
          <w:tblCellMar>
            <w:top w:w="0" w:type="dxa"/>
            <w:left w:w="108" w:type="dxa"/>
            <w:bottom w:w="0" w:type="dxa"/>
            <w:right w:w="108" w:type="dxa"/>
          </w:tblCellMar>
        </w:tblPrEx>
        <w:trPr>
          <w:trHeight w:val="615"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1619"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61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440" w:type="dxa"/>
            <w:vMerge w:val="continue"/>
            <w:tcBorders>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20</w:t>
            </w:r>
            <w:r>
              <w:rPr>
                <w:rFonts w:hint="eastAsia" w:ascii="宋体" w:hAnsi="宋体" w:cs="宋体"/>
                <w:kern w:val="0"/>
                <w:sz w:val="22"/>
                <w:szCs w:val="22"/>
                <w:lang w:val="en-US" w:eastAsia="zh-CN"/>
              </w:rPr>
              <w:t>8</w:t>
            </w:r>
          </w:p>
        </w:tc>
        <w:tc>
          <w:tcPr>
            <w:tcW w:w="19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社会保障和就业支出</w:t>
            </w:r>
          </w:p>
        </w:tc>
        <w:tc>
          <w:tcPr>
            <w:tcW w:w="161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110.46</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110.46</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 xml:space="preserve"> 20805</w:t>
            </w:r>
          </w:p>
        </w:tc>
        <w:tc>
          <w:tcPr>
            <w:tcW w:w="1984"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行政事业单位离退休</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7.47</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7.47</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76"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lang w:val="en-US" w:eastAsia="zh-CN"/>
              </w:rPr>
              <w:t xml:space="preserve">  2080505</w:t>
            </w:r>
          </w:p>
        </w:tc>
        <w:tc>
          <w:tcPr>
            <w:tcW w:w="1984" w:type="dxa"/>
            <w:tcBorders>
              <w:top w:val="nil"/>
              <w:left w:val="single" w:color="auto" w:sz="4" w:space="0"/>
              <w:bottom w:val="single" w:color="auto" w:sz="4" w:space="0"/>
              <w:right w:val="single" w:color="auto" w:sz="4" w:space="0"/>
            </w:tcBorders>
            <w:noWrap w:val="0"/>
            <w:vAlign w:val="center"/>
          </w:tcPr>
          <w:p>
            <w:pPr>
              <w:widowControl/>
              <w:ind w:firstLine="360" w:firstLineChars="200"/>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7.47</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7.47</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 xml:space="preserve"> 20816</w:t>
            </w:r>
          </w:p>
        </w:tc>
        <w:tc>
          <w:tcPr>
            <w:tcW w:w="1984"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红十字事业</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102.99</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102.99</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 xml:space="preserve">  2081601</w:t>
            </w:r>
          </w:p>
        </w:tc>
        <w:tc>
          <w:tcPr>
            <w:tcW w:w="1984" w:type="dxa"/>
            <w:tcBorders>
              <w:top w:val="nil"/>
              <w:left w:val="single" w:color="auto" w:sz="4" w:space="0"/>
              <w:bottom w:val="single" w:color="auto" w:sz="4" w:space="0"/>
              <w:right w:val="single" w:color="auto" w:sz="4" w:space="0"/>
            </w:tcBorders>
            <w:noWrap w:val="0"/>
            <w:vAlign w:val="bottom"/>
          </w:tcPr>
          <w:p>
            <w:pPr>
              <w:widowControl/>
              <w:ind w:firstLine="360" w:firstLineChars="2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行政运行</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102.99</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102.99</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210</w:t>
            </w:r>
          </w:p>
        </w:tc>
        <w:tc>
          <w:tcPr>
            <w:tcW w:w="1984"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卫生</w:t>
            </w:r>
            <w:r>
              <w:rPr>
                <w:rFonts w:hint="eastAsia" w:ascii="宋体" w:hAnsi="宋体" w:cs="宋体"/>
                <w:i w:val="0"/>
                <w:color w:val="000000"/>
                <w:kern w:val="0"/>
                <w:sz w:val="18"/>
                <w:szCs w:val="18"/>
                <w:u w:val="none"/>
                <w:lang w:val="en-US" w:eastAsia="zh-CN" w:bidi="ar"/>
              </w:rPr>
              <w:t>健康</w:t>
            </w:r>
            <w:r>
              <w:rPr>
                <w:rFonts w:hint="eastAsia" w:ascii="宋体" w:hAnsi="宋体" w:eastAsia="宋体" w:cs="宋体"/>
                <w:i w:val="0"/>
                <w:color w:val="000000"/>
                <w:kern w:val="0"/>
                <w:sz w:val="18"/>
                <w:szCs w:val="18"/>
                <w:u w:val="none"/>
                <w:lang w:val="en-US" w:eastAsia="zh-CN" w:bidi="ar"/>
              </w:rPr>
              <w:t>支出</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3.90</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3.90</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 xml:space="preserve"> 21011</w:t>
            </w:r>
          </w:p>
        </w:tc>
        <w:tc>
          <w:tcPr>
            <w:tcW w:w="19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行政事业单位医疗</w:t>
            </w:r>
          </w:p>
        </w:tc>
        <w:tc>
          <w:tcPr>
            <w:tcW w:w="161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3.90</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3.90</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rPr>
            </w:pPr>
            <w:r>
              <w:rPr>
                <w:rFonts w:hint="eastAsia" w:ascii="宋体" w:hAnsi="宋体" w:cs="宋体"/>
                <w:kern w:val="0"/>
                <w:sz w:val="22"/>
                <w:szCs w:val="22"/>
                <w:lang w:val="en-US" w:eastAsia="zh-CN"/>
              </w:rPr>
              <w:t xml:space="preserve">  2101101</w:t>
            </w:r>
          </w:p>
        </w:tc>
        <w:tc>
          <w:tcPr>
            <w:tcW w:w="1984" w:type="dxa"/>
            <w:tcBorders>
              <w:top w:val="nil"/>
              <w:left w:val="single" w:color="auto" w:sz="4" w:space="0"/>
              <w:bottom w:val="single" w:color="auto" w:sz="4" w:space="0"/>
              <w:right w:val="single" w:color="auto" w:sz="4" w:space="0"/>
            </w:tcBorders>
            <w:noWrap w:val="0"/>
            <w:vAlign w:val="bottom"/>
          </w:tcPr>
          <w:p>
            <w:pPr>
              <w:widowControl/>
              <w:ind w:firstLine="360" w:firstLineChars="200"/>
              <w:jc w:val="left"/>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行政单位医疗</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2.92</w:t>
            </w: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2.92</w:t>
            </w: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619"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2101103</w:t>
            </w:r>
          </w:p>
        </w:tc>
        <w:tc>
          <w:tcPr>
            <w:tcW w:w="1984"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公务员医疗补助</w:t>
            </w:r>
          </w:p>
        </w:tc>
        <w:tc>
          <w:tcPr>
            <w:tcW w:w="16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0.98</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0.98</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61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221</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eastAsia="宋体" w:cs="宋体"/>
                <w:i w:val="0"/>
                <w:color w:val="000000"/>
                <w:kern w:val="0"/>
                <w:sz w:val="18"/>
                <w:szCs w:val="18"/>
                <w:u w:val="none"/>
                <w:lang w:val="en-US" w:eastAsia="zh-CN" w:bidi="ar"/>
              </w:rPr>
              <w:t>住房保障支出</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5.94</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5.94</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w:t>
            </w:r>
          </w:p>
        </w:tc>
      </w:tr>
      <w:tr>
        <w:tblPrEx>
          <w:tblLayout w:type="fixed"/>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住房改革支出</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5.94</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5.94</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r>
      <w:tr>
        <w:tblPrEx>
          <w:tblLayout w:type="fixed"/>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2210201</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住房</w:t>
            </w:r>
            <w:r>
              <w:rPr>
                <w:rFonts w:hint="eastAsia" w:ascii="宋体" w:hAnsi="宋体" w:cs="宋体"/>
                <w:i w:val="0"/>
                <w:color w:val="000000"/>
                <w:kern w:val="0"/>
                <w:sz w:val="18"/>
                <w:szCs w:val="18"/>
                <w:u w:val="none"/>
                <w:lang w:val="en-US" w:eastAsia="zh-CN" w:bidi="ar"/>
              </w:rPr>
              <w:t>公积金</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4.48</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4.48</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r>
      <w:tr>
        <w:tblPrEx>
          <w:tblLayout w:type="fixed"/>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2210202</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18"/>
                <w:szCs w:val="18"/>
                <w:lang w:val="en-US" w:eastAsia="zh-CN"/>
              </w:rPr>
              <w:t xml:space="preserve">    提租补贴</w:t>
            </w: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1.46</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1.46</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p>
        </w:tc>
      </w:tr>
      <w:tr>
        <w:tblPrEx>
          <w:tblLayout w:type="fixed"/>
          <w:tblCellMar>
            <w:top w:w="0" w:type="dxa"/>
            <w:left w:w="108" w:type="dxa"/>
            <w:bottom w:w="0" w:type="dxa"/>
            <w:right w:w="108" w:type="dxa"/>
          </w:tblCellMar>
        </w:tblPrEx>
        <w:trPr>
          <w:trHeight w:val="402"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120.30</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120.30</w:t>
            </w: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61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bl>
    <w:p>
      <w:pPr>
        <w:widowControl/>
        <w:rPr>
          <w:rFonts w:hint="eastAsia" w:ascii="宋体" w:hAnsi="宋体" w:cs="宋体"/>
          <w:kern w:val="0"/>
          <w:sz w:val="24"/>
        </w:rPr>
        <w:sectPr>
          <w:pgSz w:w="16838" w:h="11906" w:orient="landscape"/>
          <w:pgMar w:top="1797" w:right="1440" w:bottom="1418" w:left="1440" w:header="851" w:footer="992" w:gutter="0"/>
          <w:cols w:space="720" w:num="1"/>
          <w:docGrid w:type="linesAndChars" w:linePitch="312" w:charSpace="0"/>
        </w:sectPr>
      </w:pPr>
      <w:r>
        <w:rPr>
          <w:rFonts w:hint="eastAsia"/>
        </w:rPr>
        <w:t xml:space="preserve">                                                                                                                        部门公开表7</w:t>
      </w:r>
    </w:p>
    <w:tbl>
      <w:tblPr>
        <w:tblStyle w:val="6"/>
        <w:tblW w:w="8906" w:type="dxa"/>
        <w:tblInd w:w="0" w:type="dxa"/>
        <w:tblLayout w:type="fixed"/>
        <w:tblCellMar>
          <w:top w:w="0" w:type="dxa"/>
          <w:left w:w="108" w:type="dxa"/>
          <w:bottom w:w="0" w:type="dxa"/>
          <w:right w:w="108" w:type="dxa"/>
        </w:tblCellMar>
      </w:tblPr>
      <w:tblGrid>
        <w:gridCol w:w="2088"/>
        <w:gridCol w:w="23"/>
        <w:gridCol w:w="3217"/>
        <w:gridCol w:w="1080"/>
        <w:gridCol w:w="1260"/>
        <w:gridCol w:w="1238"/>
      </w:tblGrid>
      <w:tr>
        <w:tblPrEx>
          <w:tblLayout w:type="fixed"/>
          <w:tblCellMar>
            <w:top w:w="0" w:type="dxa"/>
            <w:left w:w="108" w:type="dxa"/>
            <w:bottom w:w="0" w:type="dxa"/>
            <w:right w:w="108" w:type="dxa"/>
          </w:tblCellMar>
        </w:tblPrEx>
        <w:trPr>
          <w:trHeight w:val="420" w:hRule="atLeast"/>
        </w:trPr>
        <w:tc>
          <w:tcPr>
            <w:tcW w:w="8906" w:type="dxa"/>
            <w:gridSpan w:val="6"/>
            <w:tcBorders>
              <w:top w:val="nil"/>
              <w:left w:val="nil"/>
              <w:bottom w:val="nil"/>
              <w:right w:val="nil"/>
            </w:tcBorders>
            <w:noWrap w:val="0"/>
            <w:vAlign w:val="center"/>
          </w:tcPr>
          <w:p>
            <w:pPr>
              <w:pStyle w:val="3"/>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部门公开表8</w:t>
            </w:r>
          </w:p>
          <w:p>
            <w:pPr>
              <w:widowControl/>
              <w:jc w:val="center"/>
              <w:rPr>
                <w:rFonts w:hint="eastAsia" w:ascii="华文中宋" w:hAnsi="华文中宋" w:eastAsia="华文中宋" w:cs="宋体"/>
                <w:b/>
                <w:bCs/>
                <w:kern w:val="0"/>
                <w:sz w:val="18"/>
                <w:szCs w:val="18"/>
                <w:u w:val="single"/>
              </w:rPr>
            </w:pPr>
          </w:p>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红十字会</w:t>
            </w:r>
            <w:r>
              <w:rPr>
                <w:rFonts w:hint="eastAsia" w:ascii="华文中宋" w:hAnsi="华文中宋" w:eastAsia="华文中宋" w:cs="宋体"/>
                <w:b/>
                <w:bCs/>
                <w:kern w:val="0"/>
                <w:sz w:val="36"/>
                <w:szCs w:val="36"/>
              </w:rPr>
              <w:t>2019年支出预算总表</w:t>
            </w:r>
          </w:p>
        </w:tc>
      </w:tr>
      <w:tr>
        <w:tblPrEx>
          <w:tblLayout w:type="fixed"/>
          <w:tblCellMar>
            <w:top w:w="0" w:type="dxa"/>
            <w:left w:w="108" w:type="dxa"/>
            <w:bottom w:w="0" w:type="dxa"/>
            <w:right w:w="108" w:type="dxa"/>
          </w:tblCellMar>
        </w:tblPrEx>
        <w:trPr>
          <w:trHeight w:val="330" w:hRule="atLeast"/>
        </w:trPr>
        <w:tc>
          <w:tcPr>
            <w:tcW w:w="2111" w:type="dxa"/>
            <w:gridSpan w:val="2"/>
            <w:tcBorders>
              <w:top w:val="nil"/>
              <w:left w:val="nil"/>
              <w:bottom w:val="nil"/>
              <w:right w:val="nil"/>
            </w:tcBorders>
            <w:noWrap w:val="0"/>
            <w:vAlign w:val="center"/>
          </w:tcPr>
          <w:p>
            <w:pPr>
              <w:widowControl/>
              <w:jc w:val="left"/>
              <w:rPr>
                <w:rFonts w:ascii="宋体" w:hAnsi="宋体" w:cs="宋体"/>
                <w:kern w:val="0"/>
                <w:sz w:val="20"/>
                <w:szCs w:val="20"/>
              </w:rPr>
            </w:pPr>
          </w:p>
        </w:tc>
        <w:tc>
          <w:tcPr>
            <w:tcW w:w="3217"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080"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60"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38"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540" w:hRule="atLeast"/>
        </w:trPr>
        <w:tc>
          <w:tcPr>
            <w:tcW w:w="532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功能分类科目</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2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Layout w:type="fixed"/>
          <w:tblCellMar>
            <w:top w:w="0" w:type="dxa"/>
            <w:left w:w="108" w:type="dxa"/>
            <w:bottom w:w="0" w:type="dxa"/>
            <w:right w:w="108" w:type="dxa"/>
          </w:tblCellMar>
        </w:tblPrEx>
        <w:trPr>
          <w:trHeight w:val="540"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2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20</w:t>
            </w:r>
            <w:r>
              <w:rPr>
                <w:rFonts w:hint="eastAsia" w:ascii="宋体" w:hAnsi="宋体" w:cs="宋体"/>
                <w:kern w:val="0"/>
                <w:sz w:val="22"/>
                <w:szCs w:val="22"/>
                <w:lang w:val="en-US" w:eastAsia="zh-CN"/>
              </w:rPr>
              <w:t>8</w:t>
            </w:r>
          </w:p>
        </w:tc>
        <w:tc>
          <w:tcPr>
            <w:tcW w:w="32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社会保障和就业支出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110.46</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65.46</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45</w:t>
            </w: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 xml:space="preserve"> 20805</w:t>
            </w:r>
          </w:p>
        </w:tc>
        <w:tc>
          <w:tcPr>
            <w:tcW w:w="3240" w:type="dxa"/>
            <w:gridSpan w:val="2"/>
            <w:tcBorders>
              <w:top w:val="nil"/>
              <w:left w:val="nil"/>
              <w:bottom w:val="single" w:color="auto" w:sz="4" w:space="0"/>
              <w:right w:val="single" w:color="auto" w:sz="4" w:space="0"/>
            </w:tcBorders>
            <w:noWrap w:val="0"/>
            <w:vAlign w:val="center"/>
          </w:tcPr>
          <w:p>
            <w:pPr>
              <w:widowControl/>
              <w:ind w:firstLine="180" w:firstLineChars="100"/>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行政事业单位离退休</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7.47</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7.47</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 xml:space="preserve">  2080505</w:t>
            </w:r>
          </w:p>
        </w:tc>
        <w:tc>
          <w:tcPr>
            <w:tcW w:w="3240" w:type="dxa"/>
            <w:gridSpan w:val="2"/>
            <w:tcBorders>
              <w:top w:val="nil"/>
              <w:left w:val="nil"/>
              <w:bottom w:val="single" w:color="auto" w:sz="4" w:space="0"/>
              <w:right w:val="single" w:color="auto" w:sz="4" w:space="0"/>
            </w:tcBorders>
            <w:noWrap w:val="0"/>
            <w:vAlign w:val="center"/>
          </w:tcPr>
          <w:p>
            <w:pPr>
              <w:widowControl/>
              <w:ind w:firstLine="360" w:firstLineChars="200"/>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7.47</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7.47</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20816</w:t>
            </w:r>
          </w:p>
        </w:tc>
        <w:tc>
          <w:tcPr>
            <w:tcW w:w="3240" w:type="dxa"/>
            <w:gridSpan w:val="2"/>
            <w:tcBorders>
              <w:top w:val="nil"/>
              <w:left w:val="nil"/>
              <w:bottom w:val="single" w:color="auto" w:sz="4" w:space="0"/>
              <w:right w:val="single" w:color="auto" w:sz="4" w:space="0"/>
            </w:tcBorders>
            <w:noWrap w:val="0"/>
            <w:vAlign w:val="center"/>
          </w:tcPr>
          <w:p>
            <w:pPr>
              <w:widowControl/>
              <w:ind w:firstLine="180" w:firstLineChars="1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红十字事业</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102.99</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57.99</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45</w:t>
            </w: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both"/>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2081601</w:t>
            </w:r>
          </w:p>
        </w:tc>
        <w:tc>
          <w:tcPr>
            <w:tcW w:w="3240" w:type="dxa"/>
            <w:gridSpan w:val="2"/>
            <w:tcBorders>
              <w:top w:val="nil"/>
              <w:left w:val="nil"/>
              <w:bottom w:val="single" w:color="auto" w:sz="4" w:space="0"/>
              <w:right w:val="single" w:color="auto" w:sz="4" w:space="0"/>
            </w:tcBorders>
            <w:noWrap w:val="0"/>
            <w:vAlign w:val="bottom"/>
          </w:tcPr>
          <w:p>
            <w:pPr>
              <w:widowControl/>
              <w:ind w:firstLine="360" w:firstLineChars="2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行政运行</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102.99</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57.99</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45</w:t>
            </w: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both"/>
              <w:rPr>
                <w:rFonts w:ascii="宋体" w:hAnsi="宋体" w:cs="宋体"/>
                <w:kern w:val="0"/>
                <w:sz w:val="24"/>
              </w:rPr>
            </w:pPr>
            <w:r>
              <w:rPr>
                <w:rFonts w:hint="eastAsia" w:ascii="宋体" w:hAnsi="宋体" w:cs="宋体"/>
                <w:kern w:val="0"/>
                <w:sz w:val="22"/>
                <w:szCs w:val="22"/>
                <w:lang w:val="en-US" w:eastAsia="zh-CN"/>
              </w:rPr>
              <w:t>210</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卫生</w:t>
            </w:r>
            <w:r>
              <w:rPr>
                <w:rFonts w:hint="eastAsia" w:ascii="宋体" w:hAnsi="宋体" w:cs="宋体"/>
                <w:i w:val="0"/>
                <w:color w:val="000000"/>
                <w:kern w:val="0"/>
                <w:sz w:val="18"/>
                <w:szCs w:val="18"/>
                <w:u w:val="none"/>
                <w:lang w:val="en-US" w:eastAsia="zh-CN" w:bidi="ar"/>
              </w:rPr>
              <w:t>健康</w:t>
            </w:r>
            <w:r>
              <w:rPr>
                <w:rFonts w:hint="eastAsia" w:ascii="宋体" w:hAnsi="宋体" w:eastAsia="宋体" w:cs="宋体"/>
                <w:i w:val="0"/>
                <w:color w:val="000000"/>
                <w:kern w:val="0"/>
                <w:sz w:val="18"/>
                <w:szCs w:val="18"/>
                <w:u w:val="none"/>
                <w:lang w:val="en-US" w:eastAsia="zh-CN" w:bidi="ar"/>
              </w:rPr>
              <w:t>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3.90</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3.90</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21011</w:t>
            </w:r>
          </w:p>
        </w:tc>
        <w:tc>
          <w:tcPr>
            <w:tcW w:w="32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行政事业单位医疗</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3.90</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3.90</w:t>
            </w:r>
          </w:p>
        </w:tc>
        <w:tc>
          <w:tcPr>
            <w:tcW w:w="12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2101101</w:t>
            </w:r>
          </w:p>
        </w:tc>
        <w:tc>
          <w:tcPr>
            <w:tcW w:w="3240" w:type="dxa"/>
            <w:gridSpan w:val="2"/>
            <w:tcBorders>
              <w:top w:val="nil"/>
              <w:left w:val="nil"/>
              <w:bottom w:val="single" w:color="auto" w:sz="4" w:space="0"/>
              <w:right w:val="single" w:color="auto" w:sz="4" w:space="0"/>
            </w:tcBorders>
            <w:noWrap w:val="0"/>
            <w:vAlign w:val="bottom"/>
          </w:tcPr>
          <w:p>
            <w:pPr>
              <w:widowControl/>
              <w:ind w:firstLine="360" w:firstLineChars="200"/>
              <w:jc w:val="left"/>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行政单位医疗</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2.92</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2.92</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ind w:firstLine="220" w:firstLineChars="100"/>
              <w:jc w:val="left"/>
              <w:rPr>
                <w:rFonts w:ascii="宋体" w:hAnsi="宋体" w:cs="宋体"/>
                <w:kern w:val="0"/>
                <w:sz w:val="22"/>
                <w:szCs w:val="22"/>
              </w:rPr>
            </w:pPr>
            <w:r>
              <w:rPr>
                <w:rFonts w:hint="eastAsia" w:ascii="宋体" w:hAnsi="宋体" w:cs="宋体"/>
                <w:kern w:val="0"/>
                <w:sz w:val="22"/>
                <w:szCs w:val="22"/>
                <w:lang w:val="en-US" w:eastAsia="zh-CN"/>
              </w:rPr>
              <w:t>2101103</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公务员医疗补助</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0.98</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0.98</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lang w:val="en-US" w:eastAsia="zh-CN"/>
              </w:rPr>
              <w:t>221</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住房保障支出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5.94</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5.94</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 xml:space="preserve"> 22102</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18"/>
                <w:szCs w:val="18"/>
              </w:rPr>
              <w:t>　</w:t>
            </w:r>
            <w:r>
              <w:rPr>
                <w:rFonts w:hint="eastAsia" w:ascii="宋体" w:hAnsi="宋体" w:eastAsia="宋体" w:cs="宋体"/>
                <w:i w:val="0"/>
                <w:color w:val="000000"/>
                <w:kern w:val="0"/>
                <w:sz w:val="18"/>
                <w:szCs w:val="18"/>
                <w:u w:val="none"/>
                <w:lang w:val="en-US" w:eastAsia="zh-CN" w:bidi="ar"/>
              </w:rPr>
              <w:t>住房改革支出</w:t>
            </w:r>
          </w:p>
        </w:tc>
        <w:tc>
          <w:tcPr>
            <w:tcW w:w="10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5.94</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r>
              <w:rPr>
                <w:rFonts w:hint="eastAsia" w:ascii="宋体" w:hAnsi="宋体" w:cs="宋体"/>
                <w:kern w:val="0"/>
                <w:sz w:val="24"/>
                <w:lang w:val="en-US" w:eastAsia="zh-CN"/>
              </w:rPr>
              <w:t>5.94</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2210201</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    </w:t>
            </w:r>
            <w:r>
              <w:rPr>
                <w:rFonts w:hint="eastAsia" w:ascii="宋体" w:hAnsi="宋体" w:eastAsia="宋体" w:cs="宋体"/>
                <w:i w:val="0"/>
                <w:color w:val="000000"/>
                <w:kern w:val="0"/>
                <w:sz w:val="18"/>
                <w:szCs w:val="18"/>
                <w:u w:val="none"/>
                <w:lang w:val="en-US" w:eastAsia="zh-CN" w:bidi="ar"/>
              </w:rPr>
              <w:t>住房</w:t>
            </w:r>
            <w:r>
              <w:rPr>
                <w:rFonts w:hint="eastAsia" w:ascii="宋体" w:hAnsi="宋体" w:cs="宋体"/>
                <w:i w:val="0"/>
                <w:color w:val="000000"/>
                <w:kern w:val="0"/>
                <w:sz w:val="18"/>
                <w:szCs w:val="18"/>
                <w:u w:val="none"/>
                <w:lang w:val="en-US" w:eastAsia="zh-CN" w:bidi="ar"/>
              </w:rPr>
              <w:t>公积金</w:t>
            </w:r>
          </w:p>
        </w:tc>
        <w:tc>
          <w:tcPr>
            <w:tcW w:w="10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4.48</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4.48</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bottom"/>
          </w:tcPr>
          <w:p>
            <w:pPr>
              <w:widowControl/>
              <w:jc w:val="left"/>
              <w:rPr>
                <w:rFonts w:hint="eastAsia" w:ascii="宋体" w:hAnsi="宋体" w:cs="宋体"/>
                <w:kern w:val="0"/>
                <w:sz w:val="22"/>
                <w:szCs w:val="22"/>
                <w:lang w:val="en-US" w:eastAsia="zh-CN"/>
              </w:rPr>
            </w:pPr>
            <w:r>
              <w:rPr>
                <w:rFonts w:hint="eastAsia" w:ascii="宋体" w:hAnsi="宋体" w:cs="宋体"/>
                <w:kern w:val="0"/>
                <w:sz w:val="22"/>
                <w:szCs w:val="22"/>
                <w:lang w:val="en-US" w:eastAsia="zh-CN"/>
              </w:rPr>
              <w:t xml:space="preserve">  2210202</w:t>
            </w:r>
          </w:p>
        </w:tc>
        <w:tc>
          <w:tcPr>
            <w:tcW w:w="3240"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 xml:space="preserve">    提租补贴</w:t>
            </w:r>
          </w:p>
        </w:tc>
        <w:tc>
          <w:tcPr>
            <w:tcW w:w="10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1.46</w:t>
            </w:r>
          </w:p>
        </w:tc>
        <w:tc>
          <w:tcPr>
            <w:tcW w:w="126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1.46</w:t>
            </w:r>
          </w:p>
        </w:tc>
        <w:tc>
          <w:tcPr>
            <w:tcW w:w="1238"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532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120.30</w:t>
            </w: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75.30</w:t>
            </w:r>
          </w:p>
        </w:tc>
        <w:tc>
          <w:tcPr>
            <w:tcW w:w="123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45</w:t>
            </w:r>
          </w:p>
        </w:tc>
      </w:tr>
    </w:tbl>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both"/>
        <w:rPr>
          <w:rFonts w:hint="eastAsia" w:ascii="黑体" w:hAnsi="黑体" w:eastAsia="黑体"/>
          <w:bCs/>
          <w:sz w:val="36"/>
          <w:szCs w:val="36"/>
        </w:rPr>
      </w:pPr>
    </w:p>
    <w:p>
      <w:pPr>
        <w:pStyle w:val="3"/>
        <w:adjustRightInd w:val="0"/>
        <w:snapToGrid w:val="0"/>
        <w:spacing w:before="0" w:beforeAutospacing="0" w:after="0" w:afterAutospacing="0" w:line="360" w:lineRule="auto"/>
        <w:jc w:val="right"/>
        <w:rPr>
          <w:rFonts w:hint="eastAsia"/>
          <w:sz w:val="20"/>
          <w:szCs w:val="20"/>
        </w:rPr>
      </w:pPr>
    </w:p>
    <w:p>
      <w:pPr>
        <w:pStyle w:val="3"/>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部门公开表9</w:t>
      </w:r>
    </w:p>
    <w:tbl>
      <w:tblPr>
        <w:tblStyle w:val="6"/>
        <w:tblW w:w="10720" w:type="dxa"/>
        <w:jc w:val="center"/>
        <w:tblInd w:w="93" w:type="dxa"/>
        <w:tblLayout w:type="fixed"/>
        <w:tblCellMar>
          <w:top w:w="0" w:type="dxa"/>
          <w:left w:w="108" w:type="dxa"/>
          <w:bottom w:w="0" w:type="dxa"/>
          <w:right w:w="108" w:type="dxa"/>
        </w:tblCellMar>
      </w:tblPr>
      <w:tblGrid>
        <w:gridCol w:w="2815"/>
        <w:gridCol w:w="1620"/>
        <w:gridCol w:w="1765"/>
        <w:gridCol w:w="1640"/>
        <w:gridCol w:w="1460"/>
        <w:gridCol w:w="1420"/>
      </w:tblGrid>
      <w:tr>
        <w:tblPrEx>
          <w:tblLayout w:type="fixed"/>
          <w:tblCellMar>
            <w:top w:w="0" w:type="dxa"/>
            <w:left w:w="108" w:type="dxa"/>
            <w:bottom w:w="0" w:type="dxa"/>
            <w:right w:w="108" w:type="dxa"/>
          </w:tblCellMar>
        </w:tblPrEx>
        <w:trPr>
          <w:trHeight w:val="525" w:hRule="atLeast"/>
          <w:jc w:val="center"/>
        </w:trPr>
        <w:tc>
          <w:tcPr>
            <w:tcW w:w="10720" w:type="dxa"/>
            <w:gridSpan w:val="6"/>
            <w:tcBorders>
              <w:top w:val="nil"/>
              <w:left w:val="nil"/>
              <w:bottom w:val="nil"/>
              <w:right w:val="nil"/>
            </w:tcBorders>
            <w:shd w:val="clear" w:color="auto" w:fill="auto"/>
            <w:noWrap/>
            <w:vAlign w:val="center"/>
          </w:tcPr>
          <w:p>
            <w:pPr>
              <w:widowControl/>
              <w:jc w:val="center"/>
              <w:rPr>
                <w:rFonts w:ascii="宋体" w:hAnsi="宋体" w:cs="宋体"/>
                <w:b/>
                <w:bCs/>
                <w:kern w:val="0"/>
                <w:sz w:val="36"/>
                <w:szCs w:val="36"/>
              </w:rPr>
            </w:pPr>
            <w:r>
              <w:rPr>
                <w:rFonts w:hint="eastAsia" w:ascii="华文中宋" w:hAnsi="华文中宋" w:eastAsia="华文中宋" w:cs="宋体"/>
                <w:b/>
                <w:bCs/>
                <w:kern w:val="0"/>
                <w:sz w:val="36"/>
                <w:szCs w:val="36"/>
              </w:rPr>
              <w:t>宿州市</w:t>
            </w:r>
            <w:r>
              <w:rPr>
                <w:rFonts w:hint="eastAsia" w:ascii="华文中宋" w:hAnsi="华文中宋" w:eastAsia="华文中宋" w:cs="宋体"/>
                <w:b/>
                <w:bCs/>
                <w:kern w:val="0"/>
                <w:sz w:val="36"/>
                <w:szCs w:val="36"/>
                <w:lang w:eastAsia="zh-CN"/>
              </w:rPr>
              <w:t>红十字会</w:t>
            </w:r>
            <w:r>
              <w:rPr>
                <w:rFonts w:hint="eastAsia" w:ascii="华文中宋" w:hAnsi="华文中宋" w:eastAsia="华文中宋" w:cs="宋体"/>
                <w:b/>
                <w:bCs/>
                <w:kern w:val="0"/>
                <w:sz w:val="36"/>
                <w:szCs w:val="36"/>
              </w:rPr>
              <w:t>2019年部门政府采购支出表</w:t>
            </w:r>
          </w:p>
        </w:tc>
      </w:tr>
      <w:tr>
        <w:tblPrEx>
          <w:tblLayout w:type="fixed"/>
          <w:tblCellMar>
            <w:top w:w="0" w:type="dxa"/>
            <w:left w:w="108" w:type="dxa"/>
            <w:bottom w:w="0" w:type="dxa"/>
            <w:right w:w="108" w:type="dxa"/>
          </w:tblCellMar>
        </w:tblPrEx>
        <w:trPr>
          <w:trHeight w:val="360" w:hRule="atLeast"/>
          <w:jc w:val="center"/>
        </w:trPr>
        <w:tc>
          <w:tcPr>
            <w:tcW w:w="2815"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765"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64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460"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p>
        </w:tc>
        <w:tc>
          <w:tcPr>
            <w:tcW w:w="1420"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390" w:hRule="atLeast"/>
          <w:jc w:val="center"/>
        </w:trPr>
        <w:tc>
          <w:tcPr>
            <w:tcW w:w="281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支出项目/</w:t>
            </w:r>
            <w:r>
              <w:rPr>
                <w:rFonts w:hint="eastAsia" w:ascii="宋体" w:hAnsi="宋体" w:cs="宋体"/>
                <w:b/>
                <w:bCs/>
                <w:kern w:val="0"/>
                <w:sz w:val="24"/>
              </w:rPr>
              <w:br w:type="textWrapping"/>
            </w:r>
            <w:r>
              <w:rPr>
                <w:rFonts w:hint="eastAsia" w:ascii="宋体" w:hAnsi="宋体" w:cs="宋体"/>
                <w:b/>
                <w:bCs/>
                <w:kern w:val="0"/>
                <w:sz w:val="24"/>
              </w:rPr>
              <w:t>/政府采购项目名称</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176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一般公共预算</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政府性基金预算</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财政专户管理非税收入</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其他收入</w:t>
            </w:r>
          </w:p>
        </w:tc>
      </w:tr>
      <w:tr>
        <w:tblPrEx>
          <w:tblLayout w:type="fixed"/>
          <w:tblCellMar>
            <w:top w:w="0" w:type="dxa"/>
            <w:left w:w="108" w:type="dxa"/>
            <w:bottom w:w="0" w:type="dxa"/>
            <w:right w:w="108" w:type="dxa"/>
          </w:tblCellMar>
        </w:tblPrEx>
        <w:trPr>
          <w:trHeight w:val="450" w:hRule="atLeast"/>
          <w:jc w:val="center"/>
        </w:trPr>
        <w:tc>
          <w:tcPr>
            <w:tcW w:w="281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620"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nil"/>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p>
        </w:tc>
        <w:tc>
          <w:tcPr>
            <w:tcW w:w="1620"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18"/>
                <w:szCs w:val="18"/>
              </w:rPr>
            </w:pPr>
          </w:p>
        </w:tc>
        <w:tc>
          <w:tcPr>
            <w:tcW w:w="1765"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18"/>
                <w:szCs w:val="18"/>
              </w:rPr>
            </w:pPr>
          </w:p>
        </w:tc>
        <w:tc>
          <w:tcPr>
            <w:tcW w:w="1640"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18"/>
                <w:szCs w:val="18"/>
              </w:rPr>
            </w:pPr>
          </w:p>
        </w:tc>
        <w:tc>
          <w:tcPr>
            <w:tcW w:w="146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18"/>
                <w:szCs w:val="18"/>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r>
    </w:tbl>
    <w:p>
      <w:pPr>
        <w:pStyle w:val="3"/>
        <w:adjustRightInd w:val="0"/>
        <w:snapToGrid w:val="0"/>
        <w:spacing w:before="0" w:beforeAutospacing="0" w:after="0" w:afterAutospacing="0" w:line="360" w:lineRule="auto"/>
        <w:jc w:val="left"/>
        <w:rPr>
          <w:rFonts w:hint="eastAsia" w:ascii="黑体" w:hAnsi="黑体" w:eastAsia="黑体"/>
          <w:bCs/>
          <w:sz w:val="36"/>
          <w:szCs w:val="36"/>
        </w:rPr>
      </w:pPr>
      <w:r>
        <w:rPr>
          <w:rFonts w:hint="eastAsia"/>
        </w:rPr>
        <w:t>注：宿州市</w:t>
      </w:r>
      <w:r>
        <w:rPr>
          <w:rFonts w:hint="eastAsia"/>
          <w:lang w:eastAsia="zh-CN"/>
        </w:rPr>
        <w:t>红十字会</w:t>
      </w:r>
      <w:r>
        <w:rPr>
          <w:rFonts w:hint="eastAsia"/>
        </w:rPr>
        <w:t>没有政府</w:t>
      </w:r>
      <w:r>
        <w:rPr>
          <w:rFonts w:hint="eastAsia"/>
          <w:lang w:eastAsia="zh-CN"/>
        </w:rPr>
        <w:t>采购支出</w:t>
      </w:r>
      <w:r>
        <w:rPr>
          <w:rFonts w:hint="eastAsia"/>
        </w:rPr>
        <w:t>，故本表无数据。</w:t>
      </w:r>
    </w:p>
    <w:p>
      <w:pPr>
        <w:pStyle w:val="3"/>
        <w:adjustRightInd w:val="0"/>
        <w:snapToGrid w:val="0"/>
        <w:spacing w:before="0" w:beforeAutospacing="0" w:after="0" w:afterAutospacing="0" w:line="360" w:lineRule="auto"/>
        <w:jc w:val="both"/>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hint="eastAsia" w:ascii="黑体" w:hAnsi="黑体" w:eastAsia="黑体"/>
          <w:bCs/>
          <w:sz w:val="36"/>
          <w:szCs w:val="36"/>
        </w:rPr>
      </w:pPr>
    </w:p>
    <w:p>
      <w:pPr>
        <w:pStyle w:val="3"/>
        <w:adjustRightInd w:val="0"/>
        <w:snapToGrid w:val="0"/>
        <w:spacing w:before="0" w:beforeAutospacing="0" w:after="0" w:afterAutospacing="0" w:line="360" w:lineRule="auto"/>
        <w:jc w:val="center"/>
        <w:rPr>
          <w:rFonts w:ascii="黑体" w:hAnsi="黑体" w:eastAsia="黑体"/>
          <w:bCs/>
          <w:sz w:val="36"/>
          <w:szCs w:val="36"/>
        </w:rPr>
        <w:sectPr>
          <w:pgSz w:w="11906" w:h="16838"/>
          <w:pgMar w:top="1440" w:right="1416" w:bottom="1440" w:left="1800" w:header="851" w:footer="992" w:gutter="0"/>
          <w:cols w:space="720" w:num="1"/>
          <w:docGrid w:type="lines" w:linePitch="312" w:charSpace="0"/>
        </w:sectPr>
      </w:pPr>
    </w:p>
    <w:p>
      <w:pPr>
        <w:pStyle w:val="3"/>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部门公开表10</w:t>
      </w:r>
    </w:p>
    <w:tbl>
      <w:tblPr>
        <w:tblStyle w:val="6"/>
        <w:tblW w:w="10095" w:type="dxa"/>
        <w:jc w:val="center"/>
        <w:tblInd w:w="-914" w:type="dxa"/>
        <w:tblLayout w:type="fixed"/>
        <w:tblCellMar>
          <w:top w:w="0" w:type="dxa"/>
          <w:left w:w="108" w:type="dxa"/>
          <w:bottom w:w="0" w:type="dxa"/>
          <w:right w:w="108" w:type="dxa"/>
        </w:tblCellMar>
      </w:tblPr>
      <w:tblGrid>
        <w:gridCol w:w="1275"/>
        <w:gridCol w:w="1260"/>
        <w:gridCol w:w="1227"/>
        <w:gridCol w:w="1260"/>
        <w:gridCol w:w="1293"/>
        <w:gridCol w:w="1260"/>
        <w:gridCol w:w="1227"/>
        <w:gridCol w:w="1293"/>
      </w:tblGrid>
      <w:tr>
        <w:tblPrEx>
          <w:tblLayout w:type="fixed"/>
          <w:tblCellMar>
            <w:top w:w="0" w:type="dxa"/>
            <w:left w:w="108" w:type="dxa"/>
            <w:bottom w:w="0" w:type="dxa"/>
            <w:right w:w="108" w:type="dxa"/>
          </w:tblCellMar>
        </w:tblPrEx>
        <w:trPr>
          <w:trHeight w:val="765" w:hRule="atLeast"/>
          <w:jc w:val="center"/>
        </w:trPr>
        <w:tc>
          <w:tcPr>
            <w:tcW w:w="10095" w:type="dxa"/>
            <w:gridSpan w:val="8"/>
            <w:tcBorders>
              <w:top w:val="nil"/>
              <w:left w:val="nil"/>
              <w:bottom w:val="nil"/>
              <w:right w:val="nil"/>
            </w:tcBorders>
            <w:shd w:val="clear" w:color="auto" w:fill="auto"/>
            <w:noWrap/>
            <w:vAlign w:val="center"/>
          </w:tcPr>
          <w:p>
            <w:pPr>
              <w:widowControl/>
              <w:jc w:val="center"/>
              <w:rPr>
                <w:rFonts w:ascii="宋体" w:hAnsi="宋体" w:cs="宋体"/>
                <w:b/>
                <w:bCs/>
                <w:kern w:val="0"/>
                <w:sz w:val="36"/>
                <w:szCs w:val="36"/>
              </w:rPr>
            </w:pPr>
            <w:bookmarkStart w:id="0" w:name="RANGE!A1:H7"/>
            <w:r>
              <w:rPr>
                <w:rFonts w:hint="eastAsia" w:ascii="华文中宋" w:hAnsi="华文中宋" w:eastAsia="华文中宋" w:cs="宋体"/>
                <w:b/>
                <w:bCs/>
                <w:kern w:val="0"/>
                <w:sz w:val="36"/>
                <w:szCs w:val="36"/>
              </w:rPr>
              <w:t>宿州市</w:t>
            </w:r>
            <w:r>
              <w:rPr>
                <w:rFonts w:hint="eastAsia" w:ascii="华文中宋" w:hAnsi="华文中宋" w:eastAsia="华文中宋" w:cs="宋体"/>
                <w:b/>
                <w:bCs/>
                <w:kern w:val="0"/>
                <w:sz w:val="36"/>
                <w:szCs w:val="36"/>
                <w:lang w:eastAsia="zh-CN"/>
              </w:rPr>
              <w:t>红十字会</w:t>
            </w:r>
            <w:r>
              <w:rPr>
                <w:rFonts w:hint="eastAsia" w:ascii="华文中宋" w:hAnsi="华文中宋" w:eastAsia="华文中宋" w:cs="宋体"/>
                <w:b/>
                <w:bCs/>
                <w:kern w:val="0"/>
                <w:sz w:val="36"/>
                <w:szCs w:val="36"/>
              </w:rPr>
              <w:t>2019年部门政府购买服务支出表</w:t>
            </w:r>
            <w:bookmarkEnd w:id="0"/>
          </w:p>
        </w:tc>
      </w:tr>
      <w:tr>
        <w:tblPrEx>
          <w:tblLayout w:type="fixed"/>
          <w:tblCellMar>
            <w:top w:w="0" w:type="dxa"/>
            <w:left w:w="108" w:type="dxa"/>
            <w:bottom w:w="0" w:type="dxa"/>
            <w:right w:w="108" w:type="dxa"/>
          </w:tblCellMar>
        </w:tblPrEx>
        <w:trPr>
          <w:trHeight w:val="255" w:hRule="atLeast"/>
          <w:jc w:val="center"/>
        </w:trPr>
        <w:tc>
          <w:tcPr>
            <w:tcW w:w="1275"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126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27"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6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93"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60" w:type="dxa"/>
            <w:tcBorders>
              <w:top w:val="nil"/>
              <w:left w:val="nil"/>
              <w:bottom w:val="nil"/>
              <w:right w:val="nil"/>
            </w:tcBorders>
            <w:shd w:val="clear" w:color="auto" w:fill="auto"/>
            <w:noWrap/>
            <w:vAlign w:val="center"/>
          </w:tcPr>
          <w:p>
            <w:pPr>
              <w:widowControl/>
              <w:jc w:val="left"/>
              <w:rPr>
                <w:rFonts w:ascii="宋体" w:hAnsi="宋体" w:cs="宋体"/>
                <w:b/>
                <w:bCs/>
                <w:kern w:val="0"/>
                <w:sz w:val="36"/>
                <w:szCs w:val="36"/>
              </w:rPr>
            </w:pPr>
          </w:p>
        </w:tc>
        <w:tc>
          <w:tcPr>
            <w:tcW w:w="1227"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293"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420" w:hRule="atLeast"/>
          <w:jc w:val="center"/>
        </w:trPr>
        <w:tc>
          <w:tcPr>
            <w:tcW w:w="127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支出项目</w:t>
            </w:r>
          </w:p>
        </w:tc>
        <w:tc>
          <w:tcPr>
            <w:tcW w:w="126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购买方式</w:t>
            </w:r>
          </w:p>
        </w:tc>
        <w:tc>
          <w:tcPr>
            <w:tcW w:w="1227"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购买服务起止时间</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129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一般公共</w:t>
            </w:r>
            <w:r>
              <w:rPr>
                <w:rFonts w:hint="eastAsia" w:ascii="宋体" w:hAnsi="宋体" w:cs="宋体"/>
                <w:b/>
                <w:bCs/>
                <w:kern w:val="0"/>
                <w:sz w:val="24"/>
              </w:rPr>
              <w:br w:type="textWrapping"/>
            </w:r>
            <w:r>
              <w:rPr>
                <w:rFonts w:hint="eastAsia" w:ascii="宋体" w:hAnsi="宋体" w:cs="宋体"/>
                <w:b/>
                <w:bCs/>
                <w:kern w:val="0"/>
                <w:sz w:val="24"/>
              </w:rPr>
              <w:t>预算</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政府性基金预算</w:t>
            </w:r>
          </w:p>
        </w:tc>
        <w:tc>
          <w:tcPr>
            <w:tcW w:w="122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财政专户管理非税收入</w:t>
            </w:r>
          </w:p>
        </w:tc>
        <w:tc>
          <w:tcPr>
            <w:tcW w:w="129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其他收入</w:t>
            </w:r>
          </w:p>
        </w:tc>
      </w:tr>
      <w:tr>
        <w:tblPrEx>
          <w:tblLayout w:type="fixed"/>
          <w:tblCellMar>
            <w:top w:w="0" w:type="dxa"/>
            <w:left w:w="108" w:type="dxa"/>
            <w:bottom w:w="0" w:type="dxa"/>
            <w:right w:w="108" w:type="dxa"/>
          </w:tblCellMar>
        </w:tblPrEx>
        <w:trPr>
          <w:trHeight w:val="495" w:hRule="atLeast"/>
          <w:jc w:val="center"/>
        </w:trPr>
        <w:tc>
          <w:tcPr>
            <w:tcW w:w="12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3"/>
        <w:adjustRightInd w:val="0"/>
        <w:snapToGrid w:val="0"/>
        <w:spacing w:before="0" w:beforeAutospacing="0" w:after="0" w:afterAutospacing="0" w:line="360" w:lineRule="auto"/>
        <w:jc w:val="left"/>
        <w:rPr>
          <w:rFonts w:hint="eastAsia" w:ascii="黑体" w:hAnsi="黑体" w:eastAsia="黑体"/>
          <w:bCs/>
          <w:sz w:val="36"/>
          <w:szCs w:val="36"/>
        </w:rPr>
      </w:pPr>
      <w:r>
        <w:rPr>
          <w:rFonts w:hint="eastAsia"/>
        </w:rPr>
        <w:t>注：宿州市</w:t>
      </w:r>
      <w:r>
        <w:rPr>
          <w:rFonts w:hint="eastAsia"/>
          <w:lang w:eastAsia="zh-CN"/>
        </w:rPr>
        <w:t>红十字会</w:t>
      </w:r>
      <w:r>
        <w:rPr>
          <w:rFonts w:hint="eastAsia"/>
        </w:rPr>
        <w:t>没有政府</w:t>
      </w:r>
      <w:r>
        <w:rPr>
          <w:rFonts w:hint="eastAsia"/>
          <w:lang w:eastAsia="zh-CN"/>
        </w:rPr>
        <w:t>购买服务支出</w:t>
      </w:r>
      <w:r>
        <w:rPr>
          <w:rFonts w:hint="eastAsia"/>
        </w:rPr>
        <w:t>，故本表无数据。</w:t>
      </w:r>
    </w:p>
    <w:p>
      <w:pPr>
        <w:pStyle w:val="3"/>
        <w:adjustRightInd w:val="0"/>
        <w:snapToGrid w:val="0"/>
        <w:spacing w:before="0" w:beforeAutospacing="0" w:after="0" w:afterAutospacing="0" w:line="600" w:lineRule="exact"/>
        <w:jc w:val="center"/>
        <w:rPr>
          <w:rFonts w:hint="eastAsia" w:ascii="黑体" w:hAnsi="黑体" w:eastAsia="黑体"/>
          <w:bCs/>
          <w:sz w:val="36"/>
          <w:szCs w:val="36"/>
        </w:rPr>
      </w:pPr>
    </w:p>
    <w:p>
      <w:pPr>
        <w:pStyle w:val="3"/>
        <w:adjustRightInd w:val="0"/>
        <w:snapToGrid w:val="0"/>
        <w:spacing w:before="0" w:beforeAutospacing="0" w:after="0" w:afterAutospacing="0" w:line="600" w:lineRule="exact"/>
        <w:jc w:val="center"/>
        <w:rPr>
          <w:rFonts w:hint="eastAsia" w:ascii="黑体" w:hAnsi="黑体" w:eastAsia="黑体"/>
          <w:bCs/>
          <w:sz w:val="36"/>
          <w:szCs w:val="36"/>
        </w:rPr>
      </w:pPr>
      <w:r>
        <w:rPr>
          <w:rFonts w:hint="eastAsia" w:ascii="黑体" w:hAnsi="黑体" w:eastAsia="黑体"/>
          <w:bCs/>
          <w:sz w:val="36"/>
          <w:szCs w:val="36"/>
        </w:rPr>
        <w:t>第三部分 2019年部门预算情况说明</w:t>
      </w:r>
    </w:p>
    <w:p>
      <w:pPr>
        <w:pStyle w:val="3"/>
        <w:adjustRightInd w:val="0"/>
        <w:snapToGrid w:val="0"/>
        <w:spacing w:before="0" w:beforeAutospacing="0" w:after="0" w:afterAutospacing="0"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一、关于2019年财政拨款收支预算总体情况说明</w:t>
      </w:r>
    </w:p>
    <w:p>
      <w:pPr>
        <w:pStyle w:val="3"/>
        <w:adjustRightInd w:val="0"/>
        <w:snapToGrid w:val="0"/>
        <w:spacing w:before="0" w:beforeAutospacing="0" w:after="0" w:afterAutospacing="0" w:line="600" w:lineRule="exact"/>
        <w:ind w:firstLine="640" w:firstLineChars="200"/>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cs="Times New Roman"/>
          <w:kern w:val="2"/>
          <w:sz w:val="32"/>
          <w:szCs w:val="32"/>
        </w:rPr>
        <w:t>2019年财政拨款收支预算</w:t>
      </w:r>
      <w:r>
        <w:rPr>
          <w:rFonts w:hint="eastAsia" w:ascii="仿宋_GB2312" w:hAnsi="仿宋" w:eastAsia="仿宋_GB2312"/>
          <w:sz w:val="32"/>
          <w:szCs w:val="32"/>
          <w:lang w:val="en-US" w:eastAsia="zh-CN"/>
        </w:rPr>
        <w:t>120.30</w:t>
      </w:r>
      <w:r>
        <w:rPr>
          <w:rFonts w:hint="eastAsia" w:ascii="仿宋_GB2312" w:hAnsi="仿宋" w:eastAsia="仿宋_GB2312" w:cs="Times New Roman"/>
          <w:kern w:val="2"/>
          <w:sz w:val="32"/>
          <w:szCs w:val="32"/>
        </w:rPr>
        <w:t>万元。收入按资金来源分为：一般公共预算拨款</w:t>
      </w:r>
      <w:r>
        <w:rPr>
          <w:rFonts w:hint="eastAsia" w:ascii="仿宋_GB2312" w:hAnsi="仿宋" w:eastAsia="仿宋_GB2312" w:cs="Times New Roman"/>
          <w:kern w:val="2"/>
          <w:sz w:val="32"/>
          <w:szCs w:val="32"/>
          <w:lang w:val="en-US" w:eastAsia="zh-CN"/>
        </w:rPr>
        <w:t>120.30</w:t>
      </w:r>
      <w:r>
        <w:rPr>
          <w:rFonts w:hint="eastAsia" w:ascii="仿宋_GB2312" w:hAnsi="仿宋" w:eastAsia="仿宋_GB2312" w:cs="Times New Roman"/>
          <w:kern w:val="2"/>
          <w:sz w:val="32"/>
          <w:szCs w:val="32"/>
        </w:rPr>
        <w:t>万元、政府性基金预算拨款</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万元、国有资本经营预算拨款</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万元；按资金年度分为：当年财政拨款收入</w:t>
      </w:r>
      <w:r>
        <w:rPr>
          <w:rFonts w:hint="eastAsia" w:ascii="仿宋_GB2312" w:hAnsi="仿宋" w:eastAsia="仿宋_GB2312" w:cs="Times New Roman"/>
          <w:kern w:val="2"/>
          <w:sz w:val="32"/>
          <w:szCs w:val="32"/>
          <w:lang w:val="en-US" w:eastAsia="zh-CN"/>
        </w:rPr>
        <w:t>120.30</w:t>
      </w:r>
      <w:r>
        <w:rPr>
          <w:rFonts w:hint="eastAsia" w:ascii="仿宋_GB2312" w:hAnsi="仿宋" w:eastAsia="仿宋_GB2312" w:cs="Times New Roman"/>
          <w:kern w:val="2"/>
          <w:sz w:val="32"/>
          <w:szCs w:val="32"/>
        </w:rPr>
        <w:t>万元，上年结转</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万元。支出按功能分类分为：社会保障和就业支出</w:t>
      </w:r>
      <w:r>
        <w:rPr>
          <w:rFonts w:hint="eastAsia" w:ascii="仿宋_GB2312" w:hAnsi="仿宋" w:eastAsia="仿宋_GB2312" w:cs="Times New Roman"/>
          <w:kern w:val="2"/>
          <w:sz w:val="32"/>
          <w:szCs w:val="32"/>
          <w:lang w:val="en-US" w:eastAsia="zh-CN"/>
        </w:rPr>
        <w:t>110.46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91.82</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3.90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3.24</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5.94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4.94</w:t>
      </w:r>
      <w:r>
        <w:rPr>
          <w:rFonts w:hint="eastAsia" w:ascii="仿宋_GB2312" w:hAnsi="仿宋" w:eastAsia="仿宋_GB2312" w:cs="Times New Roman"/>
          <w:kern w:val="2"/>
          <w:sz w:val="32"/>
          <w:szCs w:val="32"/>
        </w:rPr>
        <w:t>%。</w:t>
      </w:r>
    </w:p>
    <w:p>
      <w:pPr>
        <w:pStyle w:val="3"/>
        <w:adjustRightInd w:val="0"/>
        <w:snapToGrid w:val="0"/>
        <w:spacing w:before="0" w:beforeAutospacing="0" w:after="0" w:afterAutospacing="0" w:line="600" w:lineRule="exact"/>
        <w:ind w:firstLine="640" w:firstLineChars="200"/>
        <w:rPr>
          <w:rFonts w:hint="eastAsia" w:ascii="黑体" w:hAnsi="仿宋" w:eastAsia="黑体" w:cs="Times New Roman"/>
          <w:kern w:val="2"/>
          <w:sz w:val="32"/>
          <w:szCs w:val="32"/>
        </w:rPr>
      </w:pPr>
      <w:r>
        <w:rPr>
          <w:rFonts w:hint="eastAsia" w:ascii="黑体" w:hAnsi="仿宋" w:eastAsia="黑体" w:cs="Times New Roman"/>
          <w:kern w:val="2"/>
          <w:sz w:val="32"/>
          <w:szCs w:val="32"/>
        </w:rPr>
        <w:t>二、关于2019年一般公共预算拨款情况说明</w:t>
      </w:r>
    </w:p>
    <w:p>
      <w:pPr>
        <w:pStyle w:val="3"/>
        <w:adjustRightInd w:val="0"/>
        <w:snapToGrid w:val="0"/>
        <w:spacing w:before="0" w:beforeAutospacing="0" w:after="0" w:afterAutospacing="0" w:line="600" w:lineRule="exact"/>
        <w:ind w:firstLine="630" w:firstLineChars="196"/>
        <w:rPr>
          <w:rFonts w:hint="eastAsia"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（一）一般公共预算拨款规模变化情况。</w:t>
      </w:r>
    </w:p>
    <w:p>
      <w:pPr>
        <w:pStyle w:val="3"/>
        <w:adjustRightInd w:val="0"/>
        <w:snapToGrid w:val="0"/>
        <w:spacing w:before="0" w:beforeAutospacing="0" w:after="0" w:afterAutospacing="0" w:line="600" w:lineRule="exact"/>
        <w:ind w:firstLine="640" w:firstLineChars="200"/>
        <w:jc w:val="both"/>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cs="Times New Roman"/>
          <w:kern w:val="2"/>
          <w:sz w:val="32"/>
          <w:szCs w:val="32"/>
        </w:rPr>
        <w:t>2019年一般公共预算拨款</w:t>
      </w:r>
      <w:r>
        <w:rPr>
          <w:rFonts w:hint="eastAsia" w:ascii="仿宋_GB2312" w:hAnsi="仿宋" w:eastAsia="仿宋_GB2312" w:cs="Times New Roman"/>
          <w:kern w:val="2"/>
          <w:sz w:val="32"/>
          <w:szCs w:val="32"/>
          <w:lang w:val="en-US" w:eastAsia="zh-CN"/>
        </w:rPr>
        <w:t>120.30</w:t>
      </w:r>
      <w:r>
        <w:rPr>
          <w:rFonts w:hint="eastAsia" w:ascii="仿宋_GB2312" w:hAnsi="仿宋" w:eastAsia="仿宋_GB2312" w:cs="Times New Roman"/>
          <w:kern w:val="2"/>
          <w:sz w:val="32"/>
          <w:szCs w:val="32"/>
        </w:rPr>
        <w:t>万元，比2018年预算拨款</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27.91</w:t>
      </w:r>
      <w:r>
        <w:rPr>
          <w:rFonts w:hint="eastAsia" w:ascii="仿宋_GB2312" w:hAnsi="仿宋" w:eastAsia="仿宋_GB2312" w:cs="Times New Roman"/>
          <w:kern w:val="2"/>
          <w:sz w:val="32"/>
          <w:szCs w:val="32"/>
        </w:rPr>
        <w:t>万元，下降</w:t>
      </w:r>
      <w:r>
        <w:rPr>
          <w:rFonts w:hint="eastAsia" w:ascii="仿宋_GB2312" w:hAnsi="仿宋" w:eastAsia="仿宋_GB2312" w:cs="Times New Roman"/>
          <w:kern w:val="2"/>
          <w:sz w:val="32"/>
          <w:szCs w:val="32"/>
          <w:lang w:val="en-US" w:eastAsia="zh-CN"/>
        </w:rPr>
        <w:t>18.83</w:t>
      </w:r>
      <w:r>
        <w:rPr>
          <w:rFonts w:hint="eastAsia" w:ascii="仿宋_GB2312" w:hAnsi="仿宋" w:eastAsia="仿宋_GB2312" w:cs="Times New Roman"/>
          <w:kern w:val="2"/>
          <w:sz w:val="32"/>
          <w:szCs w:val="32"/>
        </w:rPr>
        <w:t>%，主要原因</w:t>
      </w:r>
      <w:r>
        <w:rPr>
          <w:rFonts w:hint="eastAsia" w:ascii="仿宋_GB2312" w:hAnsi="仿宋" w:eastAsia="仿宋_GB2312" w:cs="Times New Roman"/>
          <w:kern w:val="2"/>
          <w:sz w:val="32"/>
          <w:szCs w:val="32"/>
          <w:lang w:eastAsia="zh-CN"/>
        </w:rPr>
        <w:t>：一</w:t>
      </w:r>
      <w:r>
        <w:rPr>
          <w:rFonts w:hint="eastAsia" w:ascii="仿宋_GB2312" w:hAnsi="仿宋" w:eastAsia="仿宋_GB2312" w:cs="Times New Roman"/>
          <w:kern w:val="2"/>
          <w:sz w:val="32"/>
          <w:szCs w:val="32"/>
        </w:rPr>
        <w:t>是人员工资变动</w:t>
      </w: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rPr>
        <w:t>二是我单位两位退休人员工资纳入到社保发放</w:t>
      </w:r>
      <w:r>
        <w:rPr>
          <w:rFonts w:hint="eastAsia" w:ascii="仿宋_GB2312" w:hAnsi="仿宋" w:eastAsia="仿宋_GB2312" w:cs="Times New Roman"/>
          <w:kern w:val="2"/>
          <w:sz w:val="32"/>
          <w:szCs w:val="32"/>
          <w:lang w:eastAsia="zh-CN"/>
        </w:rPr>
        <w:t>。</w:t>
      </w:r>
    </w:p>
    <w:p>
      <w:pPr>
        <w:pStyle w:val="3"/>
        <w:adjustRightInd w:val="0"/>
        <w:snapToGrid w:val="0"/>
        <w:spacing w:before="0" w:beforeAutospacing="0" w:after="0" w:afterAutospacing="0" w:line="600" w:lineRule="exact"/>
        <w:ind w:firstLine="630" w:firstLineChars="196"/>
        <w:rPr>
          <w:rFonts w:hint="eastAsia"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一般公共预算拨款结构情况。</w:t>
      </w:r>
    </w:p>
    <w:p>
      <w:pPr>
        <w:pStyle w:val="3"/>
        <w:adjustRightInd w:val="0"/>
        <w:snapToGrid w:val="0"/>
        <w:spacing w:before="0" w:beforeAutospacing="0" w:after="0" w:afterAutospacing="0" w:line="600" w:lineRule="exact"/>
        <w:ind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110.46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91.82</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3.90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3.24</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5.94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4.94</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（三）一般公共预算拨款具体使用情况。</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1</w:t>
      </w:r>
      <w:r>
        <w:rPr>
          <w:rFonts w:hint="eastAsia" w:ascii="仿宋_GB2312" w:hAnsi="仿宋" w:eastAsia="仿宋_GB2312"/>
          <w:b/>
          <w:sz w:val="32"/>
          <w:szCs w:val="32"/>
        </w:rPr>
        <w:t>.社会保障和就业支出（类）行政事业单位离退休（款）</w:t>
      </w:r>
      <w:r>
        <w:rPr>
          <w:rFonts w:hint="eastAsia" w:ascii="仿宋_GB2312" w:hAnsi="仿宋" w:eastAsia="仿宋_GB2312"/>
          <w:b/>
          <w:sz w:val="32"/>
          <w:szCs w:val="32"/>
          <w:lang w:val="en-US" w:eastAsia="zh-CN"/>
        </w:rPr>
        <w:t>机关事业单位基本养老保险缴费支出</w:t>
      </w:r>
      <w:r>
        <w:rPr>
          <w:rFonts w:hint="eastAsia" w:ascii="仿宋_GB2312" w:hAnsi="仿宋" w:eastAsia="仿宋_GB2312"/>
          <w:b/>
          <w:sz w:val="32"/>
          <w:szCs w:val="32"/>
        </w:rPr>
        <w:t>（项）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7.47</w:t>
      </w:r>
      <w:r>
        <w:rPr>
          <w:rFonts w:hint="eastAsia" w:ascii="仿宋_GB2312" w:hAnsi="仿宋" w:eastAsia="仿宋_GB2312"/>
          <w:sz w:val="32"/>
          <w:szCs w:val="32"/>
        </w:rPr>
        <w:t>万元，比2018年预算增加（减少）</w:t>
      </w:r>
      <w:r>
        <w:rPr>
          <w:rFonts w:hint="eastAsia" w:ascii="仿宋_GB2312" w:hAnsi="仿宋" w:eastAsia="仿宋_GB2312"/>
          <w:sz w:val="32"/>
          <w:szCs w:val="32"/>
          <w:lang w:val="en-US" w:eastAsia="zh-CN"/>
        </w:rPr>
        <w:t>3.57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32.34</w:t>
      </w:r>
      <w:r>
        <w:rPr>
          <w:rFonts w:hint="eastAsia" w:ascii="仿宋_GB2312" w:hAnsi="仿宋" w:eastAsia="仿宋_GB2312"/>
          <w:sz w:val="32"/>
          <w:szCs w:val="32"/>
        </w:rPr>
        <w:t>%，下降原因主要是</w:t>
      </w:r>
      <w:r>
        <w:rPr>
          <w:rFonts w:hint="eastAsia" w:ascii="仿宋_GB2312" w:hAnsi="仿宋" w:eastAsia="仿宋_GB2312" w:cs="Times New Roman"/>
          <w:kern w:val="2"/>
          <w:sz w:val="32"/>
          <w:szCs w:val="32"/>
        </w:rPr>
        <w:t>我单位两位退休人员工资纳入到社保发放</w:t>
      </w:r>
      <w:r>
        <w:rPr>
          <w:rFonts w:hint="eastAsia" w:ascii="仿宋_GB2312" w:hAnsi="仿宋" w:eastAsia="仿宋_GB2312"/>
          <w:sz w:val="32"/>
          <w:szCs w:val="32"/>
        </w:rPr>
        <w:t>。</w:t>
      </w:r>
    </w:p>
    <w:p>
      <w:pPr>
        <w:pStyle w:val="3"/>
        <w:adjustRightInd w:val="0"/>
        <w:snapToGrid w:val="0"/>
        <w:spacing w:before="0" w:beforeAutospacing="0" w:after="0" w:afterAutospacing="0" w:line="600" w:lineRule="exact"/>
        <w:ind w:firstLine="630" w:firstLineChars="196"/>
        <w:jc w:val="both"/>
        <w:rPr>
          <w:rFonts w:hint="eastAsia" w:ascii="仿宋_GB2312" w:hAnsi="仿宋" w:eastAsia="仿宋_GB2312"/>
          <w:sz w:val="32"/>
          <w:szCs w:val="32"/>
          <w:lang w:eastAsia="zh-CN"/>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社会保障和就业支出（类）红十字事业（款）</w:t>
      </w:r>
      <w:r>
        <w:rPr>
          <w:rFonts w:hint="eastAsia" w:ascii="仿宋_GB2312" w:hAnsi="仿宋" w:eastAsia="仿宋_GB2312"/>
          <w:b/>
          <w:sz w:val="32"/>
          <w:szCs w:val="32"/>
          <w:lang w:val="en-US" w:eastAsia="zh-CN"/>
        </w:rPr>
        <w:t>行政运行</w:t>
      </w:r>
      <w:r>
        <w:rPr>
          <w:rFonts w:hint="eastAsia" w:ascii="仿宋_GB2312" w:hAnsi="仿宋" w:eastAsia="仿宋_GB2312"/>
          <w:b/>
          <w:sz w:val="32"/>
          <w:szCs w:val="32"/>
        </w:rPr>
        <w:t>（项）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102.99</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40.75</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28.35</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一是</w:t>
      </w:r>
      <w:r>
        <w:rPr>
          <w:rFonts w:hint="eastAsia" w:ascii="仿宋_GB2312" w:hAnsi="仿宋" w:eastAsia="仿宋_GB2312"/>
          <w:sz w:val="32"/>
          <w:szCs w:val="32"/>
        </w:rPr>
        <w:t>人员工资变动</w:t>
      </w:r>
      <w:r>
        <w:rPr>
          <w:rFonts w:hint="eastAsia" w:ascii="仿宋_GB2312" w:hAnsi="仿宋" w:eastAsia="仿宋_GB2312"/>
          <w:sz w:val="32"/>
          <w:szCs w:val="32"/>
          <w:lang w:eastAsia="zh-CN"/>
        </w:rPr>
        <w:t>；</w:t>
      </w:r>
      <w:r>
        <w:rPr>
          <w:rFonts w:hint="eastAsia" w:ascii="仿宋_GB2312" w:hAnsi="仿宋" w:eastAsia="仿宋_GB2312"/>
          <w:sz w:val="32"/>
          <w:szCs w:val="32"/>
        </w:rPr>
        <w:t>二</w:t>
      </w:r>
      <w:r>
        <w:rPr>
          <w:rFonts w:hint="eastAsia" w:ascii="仿宋_GB2312" w:hAnsi="仿宋" w:eastAsia="仿宋_GB2312"/>
          <w:sz w:val="32"/>
          <w:szCs w:val="32"/>
          <w:lang w:eastAsia="zh-CN"/>
        </w:rPr>
        <w:t>是</w:t>
      </w:r>
      <w:r>
        <w:rPr>
          <w:rFonts w:hint="eastAsia" w:ascii="仿宋_GB2312" w:hAnsi="仿宋" w:eastAsia="仿宋_GB2312"/>
          <w:sz w:val="32"/>
          <w:szCs w:val="32"/>
        </w:rPr>
        <w:t>我单位两位退休人员工资纳入到社保发放</w:t>
      </w:r>
      <w:r>
        <w:rPr>
          <w:rFonts w:hint="eastAsia" w:ascii="仿宋_GB2312" w:hAnsi="仿宋" w:eastAsia="仿宋_GB2312"/>
          <w:sz w:val="32"/>
          <w:szCs w:val="32"/>
          <w:lang w:eastAsia="zh-CN"/>
        </w:rPr>
        <w:t>。</w:t>
      </w:r>
    </w:p>
    <w:p>
      <w:pPr>
        <w:adjustRightInd w:val="0"/>
        <w:snapToGrid w:val="0"/>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3、卫生健康支出（类）行政事业单位医疗（款）行政单位医疗（项）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2.92</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0.67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18.66</w:t>
      </w:r>
      <w:r>
        <w:rPr>
          <w:rFonts w:hint="eastAsia" w:ascii="仿宋_GB2312" w:hAnsi="仿宋" w:eastAsia="仿宋_GB2312"/>
          <w:sz w:val="32"/>
          <w:szCs w:val="32"/>
        </w:rPr>
        <w:t>%，下降原因主要是人员工资变动</w:t>
      </w:r>
      <w:r>
        <w:rPr>
          <w:rFonts w:hint="eastAsia" w:ascii="仿宋_GB2312" w:hAnsi="仿宋" w:eastAsia="仿宋_GB2312"/>
          <w:sz w:val="32"/>
          <w:szCs w:val="32"/>
          <w:lang w:eastAsia="zh-CN"/>
        </w:rPr>
        <w:t>。</w:t>
      </w:r>
    </w:p>
    <w:p>
      <w:pPr>
        <w:adjustRightInd w:val="0"/>
        <w:snapToGrid w:val="0"/>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sz w:val="32"/>
          <w:szCs w:val="32"/>
        </w:rPr>
        <w:t>4.</w:t>
      </w:r>
      <w:r>
        <w:rPr>
          <w:rFonts w:hint="eastAsia" w:ascii="仿宋_GB2312" w:hAnsi="仿宋" w:eastAsia="仿宋_GB2312"/>
          <w:b/>
          <w:sz w:val="32"/>
          <w:szCs w:val="32"/>
          <w:lang w:val="en-US" w:eastAsia="zh-CN"/>
        </w:rPr>
        <w:t>卫生健康支出（类）行政事业单位医疗（款） 公务员医疗补助（项）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0.98</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0.21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17.65</w:t>
      </w:r>
      <w:r>
        <w:rPr>
          <w:rFonts w:hint="eastAsia" w:ascii="仿宋_GB2312" w:hAnsi="仿宋" w:eastAsia="仿宋_GB2312"/>
          <w:sz w:val="32"/>
          <w:szCs w:val="32"/>
        </w:rPr>
        <w:t>%，下降原因主要是人员工资变动</w:t>
      </w:r>
      <w:r>
        <w:rPr>
          <w:rFonts w:hint="eastAsia" w:ascii="仿宋_GB2312" w:hAnsi="仿宋" w:eastAsia="仿宋_GB2312"/>
          <w:sz w:val="32"/>
          <w:szCs w:val="32"/>
          <w:lang w:eastAsia="zh-CN"/>
        </w:rPr>
        <w:t>。</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住房保障支出（类）住房改革支出（款）住房公积金（项）</w:t>
      </w: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4.48</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2.15</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32.43</w:t>
      </w:r>
      <w:r>
        <w:rPr>
          <w:rFonts w:hint="eastAsia" w:ascii="仿宋_GB2312" w:hAnsi="仿宋" w:eastAsia="仿宋_GB2312"/>
          <w:sz w:val="32"/>
          <w:szCs w:val="32"/>
        </w:rPr>
        <w:t>%，下降原因主要是人员工资变动。</w:t>
      </w:r>
    </w:p>
    <w:p>
      <w:pPr>
        <w:pStyle w:val="3"/>
        <w:adjustRightInd w:val="0"/>
        <w:snapToGrid w:val="0"/>
        <w:spacing w:before="0" w:beforeAutospacing="0" w:after="0" w:afterAutospacing="0" w:line="600" w:lineRule="exact"/>
        <w:ind w:firstLine="643" w:firstLineChars="200"/>
        <w:rPr>
          <w:rFonts w:hint="eastAsia" w:ascii="黑体" w:hAnsi="仿宋" w:eastAsia="黑体" w:cs="Times New Roman"/>
          <w:kern w:val="2"/>
          <w:sz w:val="32"/>
          <w:szCs w:val="32"/>
        </w:rPr>
      </w:pPr>
      <w:r>
        <w:rPr>
          <w:rFonts w:hint="eastAsia" w:ascii="仿宋_GB2312" w:hAnsi="仿宋" w:eastAsia="仿宋_GB2312"/>
          <w:b/>
          <w:sz w:val="32"/>
          <w:szCs w:val="32"/>
          <w:lang w:val="en-US" w:eastAsia="zh-CN"/>
        </w:rPr>
        <w:t>6、</w:t>
      </w:r>
      <w:r>
        <w:rPr>
          <w:rFonts w:hint="eastAsia" w:ascii="仿宋_GB2312" w:hAnsi="仿宋" w:eastAsia="仿宋_GB2312"/>
          <w:b/>
          <w:sz w:val="32"/>
          <w:szCs w:val="32"/>
        </w:rPr>
        <w:t>住房保障支出（类）住房改革支出（款）</w:t>
      </w:r>
      <w:r>
        <w:rPr>
          <w:rFonts w:hint="eastAsia" w:ascii="仿宋_GB2312" w:hAnsi="仿宋" w:eastAsia="仿宋_GB2312"/>
          <w:b/>
          <w:sz w:val="32"/>
          <w:szCs w:val="32"/>
          <w:lang w:eastAsia="zh-CN"/>
        </w:rPr>
        <w:t>提租补贴</w:t>
      </w:r>
      <w:r>
        <w:rPr>
          <w:rFonts w:hint="eastAsia" w:ascii="仿宋_GB2312" w:hAnsi="仿宋" w:eastAsia="仿宋_GB2312"/>
          <w:b/>
          <w:sz w:val="32"/>
          <w:szCs w:val="32"/>
        </w:rPr>
        <w:t>（项）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2019年预算</w:t>
      </w:r>
      <w:r>
        <w:rPr>
          <w:rFonts w:hint="eastAsia" w:ascii="仿宋_GB2312" w:hAnsi="仿宋" w:eastAsia="仿宋_GB2312"/>
          <w:sz w:val="32"/>
          <w:szCs w:val="32"/>
          <w:lang w:val="en-US" w:eastAsia="zh-CN"/>
        </w:rPr>
        <w:t>1.46</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0.34</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18.89</w:t>
      </w:r>
      <w:r>
        <w:rPr>
          <w:rFonts w:hint="eastAsia" w:ascii="仿宋_GB2312" w:hAnsi="仿宋" w:eastAsia="仿宋_GB2312"/>
          <w:sz w:val="32"/>
          <w:szCs w:val="32"/>
        </w:rPr>
        <w:t>%，下降原因主要是人员工资变动。</w:t>
      </w:r>
    </w:p>
    <w:p>
      <w:pPr>
        <w:pStyle w:val="3"/>
        <w:adjustRightInd w:val="0"/>
        <w:snapToGrid w:val="0"/>
        <w:spacing w:before="0" w:beforeAutospacing="0" w:after="0" w:afterAutospacing="0" w:line="600" w:lineRule="exact"/>
        <w:ind w:firstLine="640" w:firstLineChars="200"/>
        <w:rPr>
          <w:rFonts w:hint="eastAsia" w:ascii="黑体" w:hAnsi="仿宋" w:eastAsia="黑体" w:cs="Times New Roman"/>
          <w:kern w:val="2"/>
          <w:sz w:val="32"/>
          <w:szCs w:val="32"/>
        </w:rPr>
      </w:pPr>
    </w:p>
    <w:p>
      <w:pPr>
        <w:pStyle w:val="3"/>
        <w:adjustRightInd w:val="0"/>
        <w:snapToGrid w:val="0"/>
        <w:spacing w:before="0" w:beforeAutospacing="0" w:after="0" w:afterAutospacing="0" w:line="600" w:lineRule="exact"/>
        <w:ind w:firstLine="640" w:firstLineChars="200"/>
        <w:rPr>
          <w:rFonts w:hint="eastAsia" w:ascii="黑体" w:eastAsia="黑体"/>
        </w:rPr>
      </w:pPr>
      <w:r>
        <w:rPr>
          <w:rFonts w:hint="eastAsia" w:ascii="黑体" w:hAnsi="仿宋" w:eastAsia="黑体" w:cs="Times New Roman"/>
          <w:kern w:val="2"/>
          <w:sz w:val="32"/>
          <w:szCs w:val="32"/>
        </w:rPr>
        <w:t>三、关于2019年一般公共预算基本支出情况说明</w:t>
      </w:r>
    </w:p>
    <w:p>
      <w:pPr>
        <w:pStyle w:val="3"/>
        <w:adjustRightInd w:val="0"/>
        <w:snapToGrid w:val="0"/>
        <w:spacing w:before="0" w:beforeAutospacing="0" w:after="0" w:afterAutospacing="0" w:line="600" w:lineRule="exact"/>
        <w:ind w:firstLine="640" w:firstLineChars="200"/>
        <w:jc w:val="both"/>
        <w:rPr>
          <w:rFonts w:hint="eastAsia" w:ascii="仿宋_GB2312" w:hAnsi="仿宋" w:eastAsia="仿宋_GB2312"/>
          <w:sz w:val="32"/>
          <w:szCs w:val="32"/>
          <w:lang w:eastAsia="zh-CN"/>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2019年一般公共预算基本支出</w:t>
      </w:r>
      <w:r>
        <w:rPr>
          <w:rFonts w:hint="eastAsia" w:ascii="仿宋_GB2312" w:hAnsi="仿宋" w:eastAsia="仿宋_GB2312"/>
          <w:sz w:val="32"/>
          <w:szCs w:val="32"/>
          <w:lang w:val="en-US" w:eastAsia="zh-CN"/>
        </w:rPr>
        <w:t>75.30</w:t>
      </w:r>
      <w:r>
        <w:rPr>
          <w:rFonts w:hint="eastAsia" w:ascii="仿宋_GB2312" w:hAnsi="仿宋" w:eastAsia="仿宋_GB2312"/>
          <w:sz w:val="32"/>
          <w:szCs w:val="32"/>
        </w:rPr>
        <w:t>万元，其中：工资福利支出</w:t>
      </w:r>
      <w:r>
        <w:rPr>
          <w:rFonts w:hint="eastAsia" w:ascii="仿宋_GB2312" w:hAnsi="仿宋" w:eastAsia="仿宋_GB2312"/>
          <w:sz w:val="32"/>
          <w:szCs w:val="32"/>
          <w:lang w:val="en-US" w:eastAsia="zh-CN"/>
        </w:rPr>
        <w:t>60.46</w:t>
      </w:r>
      <w:r>
        <w:rPr>
          <w:rFonts w:hint="eastAsia" w:ascii="仿宋_GB2312" w:hAnsi="仿宋" w:eastAsia="仿宋_GB2312"/>
          <w:sz w:val="32"/>
          <w:szCs w:val="32"/>
        </w:rPr>
        <w:t>万元，主要包括：基本工资、津贴补贴、</w:t>
      </w:r>
      <w:r>
        <w:rPr>
          <w:rFonts w:hint="eastAsia" w:ascii="仿宋_GB2312" w:hAnsi="仿宋" w:eastAsia="仿宋_GB2312"/>
          <w:sz w:val="32"/>
          <w:szCs w:val="32"/>
          <w:lang w:eastAsia="zh-CN"/>
        </w:rPr>
        <w:t>奖金、伙食补助费、</w:t>
      </w:r>
      <w:r>
        <w:rPr>
          <w:rFonts w:hint="eastAsia" w:ascii="仿宋_GB2312" w:hAnsi="仿宋" w:eastAsia="仿宋_GB2312"/>
          <w:sz w:val="32"/>
          <w:szCs w:val="32"/>
        </w:rPr>
        <w:t>机关事业单位基本养老保险缴费、</w:t>
      </w:r>
      <w:r>
        <w:rPr>
          <w:rFonts w:hint="eastAsia" w:ascii="仿宋_GB2312" w:hAnsi="仿宋" w:eastAsia="仿宋_GB2312"/>
          <w:sz w:val="32"/>
          <w:szCs w:val="32"/>
          <w:lang w:eastAsia="zh-CN"/>
        </w:rPr>
        <w:t>城镇</w:t>
      </w:r>
      <w:r>
        <w:rPr>
          <w:rFonts w:hint="eastAsia" w:ascii="仿宋_GB2312" w:hAnsi="仿宋" w:eastAsia="仿宋_GB2312"/>
          <w:sz w:val="32"/>
          <w:szCs w:val="32"/>
        </w:rPr>
        <w:t>职工基本医疗保险缴费</w:t>
      </w:r>
      <w:r>
        <w:rPr>
          <w:rFonts w:hint="eastAsia" w:ascii="仿宋_GB2312" w:hAnsi="仿宋" w:eastAsia="仿宋_GB2312"/>
          <w:sz w:val="32"/>
          <w:szCs w:val="32"/>
          <w:lang w:eastAsia="zh-CN"/>
        </w:rPr>
        <w:t>、公务员医疗补助缴费、其他社会保障缴费、</w:t>
      </w:r>
      <w:r>
        <w:rPr>
          <w:rFonts w:hint="eastAsia" w:ascii="仿宋_GB2312" w:hAnsi="仿宋" w:eastAsia="仿宋_GB2312"/>
          <w:sz w:val="32"/>
          <w:szCs w:val="32"/>
        </w:rPr>
        <w:t>住房公积金。商品和服务支出</w:t>
      </w:r>
      <w:r>
        <w:rPr>
          <w:rFonts w:hint="eastAsia" w:ascii="仿宋_GB2312" w:hAnsi="仿宋" w:eastAsia="仿宋_GB2312"/>
          <w:sz w:val="32"/>
          <w:szCs w:val="32"/>
          <w:lang w:val="en-US" w:eastAsia="zh-CN"/>
        </w:rPr>
        <w:t>14.64</w:t>
      </w:r>
      <w:r>
        <w:rPr>
          <w:rFonts w:hint="eastAsia" w:ascii="仿宋_GB2312" w:hAnsi="仿宋" w:eastAsia="仿宋_GB2312"/>
          <w:sz w:val="32"/>
          <w:szCs w:val="32"/>
        </w:rPr>
        <w:t>万元，主要包括：办公费、邮电费、会议费、</w:t>
      </w:r>
      <w:r>
        <w:rPr>
          <w:rFonts w:hint="eastAsia" w:ascii="仿宋_GB2312" w:hAnsi="仿宋" w:eastAsia="仿宋_GB2312"/>
          <w:sz w:val="32"/>
          <w:szCs w:val="32"/>
          <w:lang w:eastAsia="zh-CN"/>
        </w:rPr>
        <w:t>公务接待费、</w:t>
      </w:r>
      <w:r>
        <w:rPr>
          <w:rFonts w:hint="eastAsia" w:ascii="仿宋_GB2312" w:hAnsi="仿宋" w:eastAsia="仿宋_GB2312"/>
          <w:sz w:val="32"/>
          <w:szCs w:val="32"/>
        </w:rPr>
        <w:t>工会经费、福利费、其他交通费</w:t>
      </w:r>
      <w:r>
        <w:rPr>
          <w:rFonts w:hint="eastAsia" w:ascii="仿宋_GB2312" w:hAnsi="仿宋" w:eastAsia="仿宋_GB2312"/>
          <w:sz w:val="32"/>
          <w:szCs w:val="32"/>
          <w:lang w:eastAsia="zh-CN"/>
        </w:rPr>
        <w:t>用</w:t>
      </w:r>
      <w:r>
        <w:rPr>
          <w:rFonts w:hint="eastAsia" w:ascii="仿宋_GB2312" w:hAnsi="仿宋" w:eastAsia="仿宋_GB2312"/>
          <w:sz w:val="32"/>
          <w:szCs w:val="32"/>
        </w:rPr>
        <w:t>。对个人和家庭的补助</w:t>
      </w:r>
      <w:r>
        <w:rPr>
          <w:rFonts w:hint="eastAsia" w:ascii="仿宋_GB2312" w:hAnsi="仿宋" w:eastAsia="仿宋_GB2312"/>
          <w:sz w:val="32"/>
          <w:szCs w:val="32"/>
          <w:lang w:val="en-US" w:eastAsia="zh-CN"/>
        </w:rPr>
        <w:t>0.20</w:t>
      </w:r>
      <w:r>
        <w:rPr>
          <w:rFonts w:hint="eastAsia" w:ascii="仿宋_GB2312" w:hAnsi="仿宋" w:eastAsia="仿宋_GB2312"/>
          <w:sz w:val="32"/>
          <w:szCs w:val="32"/>
        </w:rPr>
        <w:t>万元，主要包括：退休费</w:t>
      </w:r>
      <w:r>
        <w:rPr>
          <w:rFonts w:hint="eastAsia" w:ascii="仿宋_GB2312" w:hAnsi="仿宋" w:eastAsia="仿宋_GB2312"/>
          <w:sz w:val="32"/>
          <w:szCs w:val="32"/>
          <w:lang w:eastAsia="zh-CN"/>
        </w:rPr>
        <w:t>。</w:t>
      </w:r>
    </w:p>
    <w:p>
      <w:pPr>
        <w:pStyle w:val="3"/>
        <w:adjustRightInd w:val="0"/>
        <w:snapToGrid w:val="0"/>
        <w:spacing w:before="0" w:beforeAutospacing="0" w:after="0" w:afterAutospacing="0" w:line="600" w:lineRule="exact"/>
        <w:ind w:firstLine="640" w:firstLineChars="200"/>
        <w:rPr>
          <w:rFonts w:hint="eastAsia" w:ascii="楷体_GB2312" w:hAnsi="仿宋" w:eastAsia="楷体_GB2312" w:cs="Times New Roman"/>
          <w:color w:val="FF0000"/>
          <w:kern w:val="2"/>
          <w:sz w:val="32"/>
          <w:szCs w:val="32"/>
        </w:rPr>
      </w:pPr>
      <w:r>
        <w:rPr>
          <w:rFonts w:hint="eastAsia" w:ascii="黑体" w:hAnsi="仿宋" w:eastAsia="黑体"/>
          <w:sz w:val="32"/>
          <w:szCs w:val="32"/>
        </w:rPr>
        <w:t>四、关于2019年政府性基金预算拨款情况说明</w:t>
      </w:r>
    </w:p>
    <w:p>
      <w:pPr>
        <w:pStyle w:val="3"/>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2019年没有政府性基金预算拨款收入，也没有使用政府性基金预算拨款安排的支出。</w:t>
      </w:r>
    </w:p>
    <w:p>
      <w:pPr>
        <w:pStyle w:val="3"/>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五、关于2019年国有资本经营预算拨款情况说明</w:t>
      </w:r>
    </w:p>
    <w:p>
      <w:pPr>
        <w:pStyle w:val="3"/>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2019年没有国有资本经营预算拨款收入，也没有使用国有资本经营预算拨款安排的支出。</w:t>
      </w:r>
    </w:p>
    <w:p>
      <w:pPr>
        <w:pStyle w:val="3"/>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六、关于2019年收支预算总体情况说明</w:t>
      </w:r>
    </w:p>
    <w:p>
      <w:pPr>
        <w:pStyle w:val="3"/>
        <w:adjustRightInd w:val="0"/>
        <w:snapToGrid w:val="0"/>
        <w:spacing w:before="0" w:beforeAutospacing="0" w:after="0" w:afterAutospacing="0" w:line="600" w:lineRule="exact"/>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所有收入和支出均纳入部门预算管理。</w:t>
      </w: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2019年收支总预算</w:t>
      </w:r>
      <w:r>
        <w:rPr>
          <w:rFonts w:hint="eastAsia" w:ascii="仿宋_GB2312" w:hAnsi="仿宋" w:eastAsia="仿宋_GB2312"/>
          <w:sz w:val="32"/>
          <w:szCs w:val="32"/>
          <w:lang w:val="en-US" w:eastAsia="zh-CN"/>
        </w:rPr>
        <w:t>120.30</w:t>
      </w:r>
      <w:r>
        <w:rPr>
          <w:rFonts w:hint="eastAsia" w:ascii="仿宋_GB2312" w:hAnsi="仿宋" w:eastAsia="仿宋_GB2312"/>
          <w:sz w:val="32"/>
          <w:szCs w:val="32"/>
        </w:rPr>
        <w:t>万元，收入包括一般公共预算拨款收入</w:t>
      </w:r>
      <w:r>
        <w:rPr>
          <w:rFonts w:hint="eastAsia" w:ascii="仿宋_GB2312" w:hAnsi="仿宋" w:eastAsia="仿宋_GB2312"/>
          <w:sz w:val="32"/>
          <w:szCs w:val="32"/>
          <w:lang w:eastAsia="zh-CN"/>
        </w:rPr>
        <w:t>。</w:t>
      </w:r>
      <w:r>
        <w:rPr>
          <w:rFonts w:hint="eastAsia" w:ascii="仿宋_GB2312" w:hAnsi="仿宋" w:eastAsia="仿宋_GB2312"/>
          <w:sz w:val="32"/>
          <w:szCs w:val="32"/>
        </w:rPr>
        <w:t>支出包括：社会保障和就业支出、卫生健康支出、住房保障支出。</w:t>
      </w:r>
    </w:p>
    <w:p>
      <w:pPr>
        <w:pStyle w:val="3"/>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七、关于2019年收入预算情况说明</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2019年收入预算</w:t>
      </w:r>
      <w:r>
        <w:rPr>
          <w:rFonts w:hint="eastAsia" w:ascii="仿宋_GB2312" w:hAnsi="仿宋" w:eastAsia="仿宋_GB2312"/>
          <w:sz w:val="32"/>
          <w:szCs w:val="32"/>
          <w:lang w:val="en-US" w:eastAsia="zh-CN"/>
        </w:rPr>
        <w:t>120.30</w:t>
      </w:r>
      <w:r>
        <w:rPr>
          <w:rFonts w:hint="eastAsia" w:ascii="仿宋_GB2312" w:hAnsi="仿宋" w:eastAsia="仿宋_GB2312"/>
          <w:sz w:val="32"/>
          <w:szCs w:val="32"/>
        </w:rPr>
        <w:t>万元，其中：一般公共预算拨款收入</w:t>
      </w:r>
      <w:r>
        <w:rPr>
          <w:rFonts w:hint="eastAsia" w:ascii="仿宋_GB2312" w:hAnsi="仿宋" w:eastAsia="仿宋_GB2312"/>
          <w:sz w:val="32"/>
          <w:szCs w:val="32"/>
          <w:lang w:val="en-US" w:eastAsia="zh-CN"/>
        </w:rPr>
        <w:t>120.30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%，比2018年预算减少</w:t>
      </w:r>
      <w:r>
        <w:rPr>
          <w:rFonts w:hint="eastAsia" w:ascii="仿宋_GB2312" w:hAnsi="仿宋" w:eastAsia="仿宋_GB2312"/>
          <w:sz w:val="32"/>
          <w:szCs w:val="32"/>
          <w:lang w:val="en-US" w:eastAsia="zh-CN"/>
        </w:rPr>
        <w:t>47.91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28.48</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：一是</w:t>
      </w:r>
      <w:r>
        <w:rPr>
          <w:rFonts w:hint="eastAsia" w:ascii="仿宋_GB2312" w:hAnsi="仿宋" w:eastAsia="仿宋_GB2312"/>
          <w:sz w:val="32"/>
          <w:szCs w:val="32"/>
        </w:rPr>
        <w:t>人员工资变动</w:t>
      </w:r>
      <w:r>
        <w:rPr>
          <w:rFonts w:hint="eastAsia" w:ascii="仿宋_GB2312" w:hAnsi="仿宋" w:eastAsia="仿宋_GB2312"/>
          <w:sz w:val="32"/>
          <w:szCs w:val="32"/>
          <w:lang w:eastAsia="zh-CN"/>
        </w:rPr>
        <w:t>，</w:t>
      </w:r>
      <w:r>
        <w:rPr>
          <w:rFonts w:hint="eastAsia" w:ascii="仿宋_GB2312" w:hAnsi="仿宋" w:eastAsia="仿宋_GB2312"/>
          <w:sz w:val="32"/>
          <w:szCs w:val="32"/>
        </w:rPr>
        <w:t>二</w:t>
      </w:r>
      <w:r>
        <w:rPr>
          <w:rFonts w:hint="eastAsia" w:ascii="仿宋_GB2312" w:hAnsi="仿宋" w:eastAsia="仿宋_GB2312"/>
          <w:sz w:val="32"/>
          <w:szCs w:val="32"/>
          <w:lang w:eastAsia="zh-CN"/>
        </w:rPr>
        <w:t>是</w:t>
      </w:r>
      <w:r>
        <w:rPr>
          <w:rFonts w:hint="eastAsia" w:ascii="仿宋_GB2312" w:hAnsi="仿宋" w:eastAsia="仿宋_GB2312"/>
          <w:sz w:val="32"/>
          <w:szCs w:val="32"/>
        </w:rPr>
        <w:t>我单位两位退休人员工资纳入到社保发放</w:t>
      </w:r>
      <w:r>
        <w:rPr>
          <w:rFonts w:hint="eastAsia" w:ascii="仿宋_GB2312" w:hAnsi="仿宋" w:eastAsia="仿宋_GB2312"/>
          <w:sz w:val="32"/>
          <w:szCs w:val="32"/>
          <w:lang w:eastAsia="zh-CN"/>
        </w:rPr>
        <w:t>；</w:t>
      </w:r>
      <w:r>
        <w:rPr>
          <w:rFonts w:hint="eastAsia" w:ascii="仿宋_GB2312" w:hAnsi="仿宋" w:eastAsia="仿宋_GB2312"/>
          <w:sz w:val="32"/>
          <w:szCs w:val="32"/>
        </w:rPr>
        <w:t>政府性基金预算拨款收入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与</w:t>
      </w:r>
      <w:r>
        <w:rPr>
          <w:rFonts w:hint="eastAsia" w:ascii="仿宋_GB2312" w:hAnsi="仿宋" w:eastAsia="仿宋_GB2312"/>
          <w:sz w:val="32"/>
          <w:szCs w:val="32"/>
        </w:rPr>
        <w:t>2018年预算</w:t>
      </w:r>
      <w:r>
        <w:rPr>
          <w:rFonts w:hint="eastAsia" w:ascii="仿宋_GB2312" w:hAnsi="仿宋" w:eastAsia="仿宋_GB2312"/>
          <w:sz w:val="32"/>
          <w:szCs w:val="32"/>
          <w:lang w:eastAsia="zh-CN"/>
        </w:rPr>
        <w:t>持平</w:t>
      </w:r>
      <w:r>
        <w:rPr>
          <w:rFonts w:hint="eastAsia" w:ascii="仿宋_GB2312" w:hAnsi="仿宋" w:eastAsia="仿宋_GB2312"/>
          <w:sz w:val="32"/>
          <w:szCs w:val="32"/>
        </w:rPr>
        <w:t>，</w:t>
      </w:r>
      <w:r>
        <w:rPr>
          <w:rFonts w:hint="eastAsia" w:ascii="仿宋_GB2312" w:hAnsi="仿宋" w:eastAsia="仿宋_GB2312"/>
          <w:sz w:val="32"/>
          <w:szCs w:val="32"/>
          <w:lang w:eastAsia="zh-CN"/>
        </w:rPr>
        <w:t>持平</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我单位无</w:t>
      </w:r>
      <w:r>
        <w:rPr>
          <w:rFonts w:hint="eastAsia" w:ascii="仿宋_GB2312" w:hAnsi="仿宋" w:eastAsia="仿宋_GB2312"/>
          <w:sz w:val="32"/>
          <w:szCs w:val="32"/>
        </w:rPr>
        <w:t>政府性基金预算拨款收入；财政专户管理非税收入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与</w:t>
      </w:r>
      <w:r>
        <w:rPr>
          <w:rFonts w:hint="eastAsia" w:ascii="仿宋_GB2312" w:hAnsi="仿宋" w:eastAsia="仿宋_GB2312"/>
          <w:sz w:val="32"/>
          <w:szCs w:val="32"/>
        </w:rPr>
        <w:t>2018年预算</w:t>
      </w:r>
      <w:r>
        <w:rPr>
          <w:rFonts w:hint="eastAsia" w:ascii="仿宋_GB2312" w:hAnsi="仿宋" w:eastAsia="仿宋_GB2312"/>
          <w:sz w:val="32"/>
          <w:szCs w:val="32"/>
          <w:lang w:eastAsia="zh-CN"/>
        </w:rPr>
        <w:t>持平</w:t>
      </w:r>
      <w:r>
        <w:rPr>
          <w:rFonts w:hint="eastAsia" w:ascii="仿宋_GB2312" w:hAnsi="仿宋" w:eastAsia="仿宋_GB2312"/>
          <w:sz w:val="32"/>
          <w:szCs w:val="32"/>
        </w:rPr>
        <w:t>，</w:t>
      </w:r>
      <w:r>
        <w:rPr>
          <w:rFonts w:hint="eastAsia" w:ascii="仿宋_GB2312" w:hAnsi="仿宋" w:eastAsia="仿宋_GB2312"/>
          <w:sz w:val="32"/>
          <w:szCs w:val="32"/>
          <w:lang w:eastAsia="zh-CN"/>
        </w:rPr>
        <w:t>持平</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我单位无</w:t>
      </w:r>
      <w:r>
        <w:rPr>
          <w:rFonts w:hint="eastAsia" w:ascii="仿宋_GB2312" w:hAnsi="仿宋" w:eastAsia="仿宋_GB2312"/>
          <w:sz w:val="32"/>
          <w:szCs w:val="32"/>
        </w:rPr>
        <w:t>财政专户管理非税收入。</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八、关于2019年支出预算情况说明</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2019年支出预算</w:t>
      </w:r>
      <w:r>
        <w:rPr>
          <w:rFonts w:hint="eastAsia" w:ascii="仿宋_GB2312" w:hAnsi="仿宋" w:eastAsia="仿宋_GB2312"/>
          <w:sz w:val="32"/>
          <w:szCs w:val="32"/>
          <w:lang w:val="en-US" w:eastAsia="zh-CN"/>
        </w:rPr>
        <w:t>120.30</w:t>
      </w:r>
      <w:r>
        <w:rPr>
          <w:rFonts w:hint="eastAsia" w:ascii="仿宋_GB2312" w:hAnsi="仿宋" w:eastAsia="仿宋_GB2312"/>
          <w:sz w:val="32"/>
          <w:szCs w:val="32"/>
        </w:rPr>
        <w:t>万元，比2018年预算减少</w:t>
      </w:r>
      <w:r>
        <w:rPr>
          <w:rFonts w:hint="eastAsia" w:ascii="仿宋_GB2312" w:hAnsi="仿宋" w:eastAsia="仿宋_GB2312"/>
          <w:sz w:val="32"/>
          <w:szCs w:val="32"/>
          <w:lang w:val="en-US" w:eastAsia="zh-CN"/>
        </w:rPr>
        <w:t>47.91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28.48</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一是</w:t>
      </w:r>
      <w:r>
        <w:rPr>
          <w:rFonts w:hint="eastAsia" w:ascii="仿宋_GB2312" w:hAnsi="仿宋" w:eastAsia="仿宋_GB2312"/>
          <w:sz w:val="32"/>
          <w:szCs w:val="32"/>
        </w:rPr>
        <w:t>人员工资变动</w:t>
      </w:r>
      <w:r>
        <w:rPr>
          <w:rFonts w:hint="eastAsia" w:ascii="仿宋_GB2312" w:hAnsi="仿宋" w:eastAsia="仿宋_GB2312"/>
          <w:sz w:val="32"/>
          <w:szCs w:val="32"/>
          <w:lang w:eastAsia="zh-CN"/>
        </w:rPr>
        <w:t>，</w:t>
      </w:r>
      <w:r>
        <w:rPr>
          <w:rFonts w:hint="eastAsia" w:ascii="仿宋_GB2312" w:hAnsi="仿宋" w:eastAsia="仿宋_GB2312"/>
          <w:sz w:val="32"/>
          <w:szCs w:val="32"/>
        </w:rPr>
        <w:t>二</w:t>
      </w:r>
      <w:r>
        <w:rPr>
          <w:rFonts w:hint="eastAsia" w:ascii="仿宋_GB2312" w:hAnsi="仿宋" w:eastAsia="仿宋_GB2312"/>
          <w:sz w:val="32"/>
          <w:szCs w:val="32"/>
          <w:lang w:eastAsia="zh-CN"/>
        </w:rPr>
        <w:t>是</w:t>
      </w:r>
      <w:r>
        <w:rPr>
          <w:rFonts w:hint="eastAsia" w:ascii="仿宋_GB2312" w:hAnsi="仿宋" w:eastAsia="仿宋_GB2312"/>
          <w:sz w:val="32"/>
          <w:szCs w:val="32"/>
        </w:rPr>
        <w:t>我单位两位退休人员工资纳入到社保发放。其中，基本支出</w:t>
      </w:r>
      <w:r>
        <w:rPr>
          <w:rFonts w:hint="eastAsia" w:ascii="仿宋_GB2312" w:hAnsi="仿宋" w:eastAsia="仿宋_GB2312"/>
          <w:sz w:val="32"/>
          <w:szCs w:val="32"/>
          <w:lang w:val="en-US" w:eastAsia="zh-CN"/>
        </w:rPr>
        <w:t>75.30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62.59</w:t>
      </w:r>
      <w:r>
        <w:rPr>
          <w:rFonts w:hint="eastAsia" w:ascii="仿宋_GB2312" w:hAnsi="仿宋" w:eastAsia="仿宋_GB2312"/>
          <w:sz w:val="32"/>
          <w:szCs w:val="32"/>
        </w:rPr>
        <w:t>%，主要用于保障机构日常运转、完成日常工作任务等；项目支出</w:t>
      </w:r>
      <w:r>
        <w:rPr>
          <w:rFonts w:hint="eastAsia" w:ascii="仿宋_GB2312" w:hAnsi="仿宋" w:eastAsia="仿宋_GB2312"/>
          <w:sz w:val="32"/>
          <w:szCs w:val="32"/>
          <w:lang w:val="en-US" w:eastAsia="zh-CN"/>
        </w:rPr>
        <w:t>45</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37.41</w:t>
      </w:r>
      <w:r>
        <w:rPr>
          <w:rFonts w:hint="eastAsia" w:ascii="仿宋_GB2312" w:hAnsi="仿宋" w:eastAsia="仿宋_GB2312"/>
          <w:sz w:val="32"/>
          <w:szCs w:val="32"/>
        </w:rPr>
        <w:t>%，主要用于</w:t>
      </w:r>
      <w:r>
        <w:rPr>
          <w:rFonts w:hint="eastAsia" w:ascii="仿宋_GB2312" w:hAnsi="仿宋" w:eastAsia="仿宋_GB2312"/>
          <w:color w:val="000000"/>
          <w:sz w:val="32"/>
          <w:szCs w:val="32"/>
        </w:rPr>
        <w:t>红十字事业发展、捐赠工作、应急救助基金管理、应急救护培训中心体验馆日常维护经费</w:t>
      </w:r>
      <w:r>
        <w:rPr>
          <w:rFonts w:hint="eastAsia" w:ascii="仿宋_GB2312" w:hAnsi="仿宋" w:eastAsia="仿宋_GB2312" w:cs="仿宋_GB2312"/>
          <w:color w:val="000000"/>
          <w:sz w:val="32"/>
          <w:szCs w:val="32"/>
        </w:rPr>
        <w:t>支出</w:t>
      </w:r>
      <w:r>
        <w:rPr>
          <w:rFonts w:hint="eastAsia" w:ascii="仿宋_GB2312" w:hAnsi="仿宋" w:eastAsia="仿宋_GB2312"/>
          <w:sz w:val="32"/>
          <w:szCs w:val="32"/>
        </w:rPr>
        <w:t>。</w:t>
      </w:r>
    </w:p>
    <w:p>
      <w:pPr>
        <w:numPr>
          <w:ilvl w:val="0"/>
          <w:numId w:val="1"/>
        </w:num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其他重要事项情况说明</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640" w:firstLineChars="200"/>
        <w:rPr>
          <w:rFonts w:hint="eastAsia" w:ascii="仿宋_GB2312" w:hAnsi="楷体" w:eastAsia="仿宋_GB2312"/>
          <w:b/>
          <w:sz w:val="32"/>
          <w:szCs w:val="32"/>
        </w:rPr>
      </w:pPr>
      <w:r>
        <w:rPr>
          <w:rFonts w:hint="eastAsia" w:ascii="仿宋_GB2312" w:hAnsi="仿宋" w:eastAsia="仿宋_GB2312" w:cs="仿宋_GB2312"/>
          <w:sz w:val="32"/>
          <w:szCs w:val="32"/>
        </w:rPr>
        <w:t>宿州市红十字会201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年无批复绩效目标项目</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二</w:t>
      </w:r>
      <w:r>
        <w:rPr>
          <w:rFonts w:hint="eastAsia" w:ascii="仿宋_GB2312" w:hAnsi="楷体" w:eastAsia="仿宋_GB2312"/>
          <w:b/>
          <w:sz w:val="32"/>
          <w:szCs w:val="32"/>
        </w:rPr>
        <w:t>）机关运行经费。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仿宋" w:eastAsia="仿宋_GB2312"/>
          <w:sz w:val="32"/>
          <w:szCs w:val="32"/>
        </w:rPr>
        <w:t>2019年机关运行经费财政拨款预算</w:t>
      </w:r>
      <w:r>
        <w:rPr>
          <w:rFonts w:hint="eastAsia" w:ascii="仿宋_GB2312" w:hAnsi="仿宋" w:eastAsia="仿宋_GB2312"/>
          <w:sz w:val="32"/>
          <w:szCs w:val="32"/>
          <w:lang w:val="en-US" w:eastAsia="zh-CN"/>
        </w:rPr>
        <w:t>14.64</w:t>
      </w:r>
      <w:r>
        <w:rPr>
          <w:rFonts w:hint="eastAsia" w:ascii="仿宋_GB2312" w:hAnsi="仿宋" w:eastAsia="仿宋_GB2312"/>
          <w:sz w:val="32"/>
          <w:szCs w:val="32"/>
        </w:rPr>
        <w:t>万元，比2018年减少</w:t>
      </w:r>
      <w:r>
        <w:rPr>
          <w:rFonts w:hint="eastAsia" w:ascii="仿宋_GB2312" w:hAnsi="仿宋" w:eastAsia="仿宋_GB2312"/>
          <w:sz w:val="32"/>
          <w:szCs w:val="32"/>
          <w:lang w:val="en-US" w:eastAsia="zh-CN"/>
        </w:rPr>
        <w:t>23.17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61.28</w:t>
      </w:r>
      <w:r>
        <w:rPr>
          <w:rFonts w:hint="eastAsia" w:ascii="仿宋_GB2312" w:hAnsi="仿宋" w:eastAsia="仿宋_GB2312"/>
          <w:sz w:val="32"/>
          <w:szCs w:val="32"/>
        </w:rPr>
        <w:t>%，下降主要原因是应急救护培训收费项目取消，收入下降，相应的应返还的劳务费用及单据印刷等支出费用随之减少。</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三</w:t>
      </w:r>
      <w:r>
        <w:rPr>
          <w:rFonts w:hint="eastAsia" w:ascii="仿宋_GB2312" w:hAnsi="楷体" w:eastAsia="仿宋_GB2312"/>
          <w:b/>
          <w:sz w:val="32"/>
          <w:szCs w:val="32"/>
        </w:rPr>
        <w:t>）政府采购情况。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楷体" w:eastAsia="仿宋_GB2312"/>
          <w:sz w:val="32"/>
          <w:szCs w:val="32"/>
        </w:rPr>
        <w:t>2019年政府采购预算总额</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numPr>
          <w:ilvl w:val="0"/>
          <w:numId w:val="2"/>
        </w:numPr>
        <w:adjustRightInd w:val="0"/>
        <w:snapToGrid w:val="0"/>
        <w:spacing w:line="600" w:lineRule="exact"/>
        <w:ind w:firstLine="643" w:firstLineChars="200"/>
        <w:rPr>
          <w:rFonts w:hint="eastAsia" w:ascii="仿宋_GB2312" w:hAnsi="楷体" w:eastAsia="仿宋_GB2312"/>
          <w:b/>
          <w:sz w:val="32"/>
          <w:szCs w:val="32"/>
          <w:lang w:eastAsia="zh-CN"/>
        </w:rPr>
      </w:pPr>
      <w:r>
        <w:rPr>
          <w:rFonts w:hint="eastAsia" w:ascii="仿宋_GB2312" w:hAnsi="楷体" w:eastAsia="仿宋_GB2312"/>
          <w:b/>
          <w:sz w:val="32"/>
          <w:szCs w:val="32"/>
          <w:lang w:eastAsia="zh-CN"/>
        </w:rPr>
        <w:t>政府购买服务情况</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宿州市</w:t>
      </w:r>
      <w:r>
        <w:rPr>
          <w:rFonts w:hint="eastAsia" w:ascii="仿宋_GB2312" w:hAnsi="仿宋" w:eastAsia="仿宋_GB2312"/>
          <w:sz w:val="32"/>
          <w:szCs w:val="32"/>
          <w:lang w:eastAsia="zh-CN"/>
        </w:rPr>
        <w:t>红十字会</w:t>
      </w:r>
      <w:r>
        <w:rPr>
          <w:rFonts w:hint="eastAsia" w:ascii="仿宋_GB2312" w:hAnsi="仿宋" w:eastAsia="仿宋_GB2312"/>
          <w:sz w:val="32"/>
          <w:szCs w:val="32"/>
          <w:lang w:val="en-US" w:eastAsia="zh-CN"/>
        </w:rPr>
        <w:t>2019年</w:t>
      </w:r>
      <w:r>
        <w:rPr>
          <w:rFonts w:hint="eastAsia" w:ascii="仿宋_GB2312" w:hAnsi="仿宋" w:eastAsia="仿宋_GB2312"/>
          <w:sz w:val="32"/>
          <w:szCs w:val="32"/>
        </w:rPr>
        <w:t>没有政府</w:t>
      </w:r>
      <w:r>
        <w:rPr>
          <w:rFonts w:hint="eastAsia" w:ascii="仿宋_GB2312" w:hAnsi="仿宋" w:eastAsia="仿宋_GB2312"/>
          <w:sz w:val="32"/>
          <w:szCs w:val="32"/>
          <w:lang w:eastAsia="zh-CN"/>
        </w:rPr>
        <w:t>购买服务支出。</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五</w:t>
      </w:r>
      <w:r>
        <w:rPr>
          <w:rFonts w:hint="eastAsia" w:ascii="仿宋_GB2312" w:hAnsi="楷体" w:eastAsia="仿宋_GB2312"/>
          <w:b/>
          <w:sz w:val="32"/>
          <w:szCs w:val="32"/>
        </w:rPr>
        <w:t>）国有资产占有使用情况。</w:t>
      </w:r>
    </w:p>
    <w:p>
      <w:pPr>
        <w:adjustRightInd w:val="0"/>
        <w:snapToGrid w:val="0"/>
        <w:spacing w:line="600" w:lineRule="exact"/>
        <w:ind w:firstLine="640" w:firstLineChars="200"/>
        <w:rPr>
          <w:rFonts w:hint="eastAsia" w:ascii="仿宋_GB2312" w:hAnsi="楷体" w:eastAsia="仿宋_GB2312"/>
          <w:color w:val="3366FF"/>
          <w:sz w:val="32"/>
          <w:szCs w:val="32"/>
        </w:rPr>
      </w:pPr>
      <w:r>
        <w:rPr>
          <w:rFonts w:hint="eastAsia" w:ascii="仿宋_GB2312" w:hAnsi="仿宋" w:eastAsia="仿宋_GB2312"/>
          <w:sz w:val="32"/>
          <w:szCs w:val="32"/>
        </w:rPr>
        <w:t>截至2018年底，宿州市</w:t>
      </w:r>
      <w:r>
        <w:rPr>
          <w:rFonts w:hint="eastAsia" w:ascii="仿宋_GB2312" w:hAnsi="仿宋" w:eastAsia="仿宋_GB2312" w:cs="Times New Roman"/>
          <w:kern w:val="2"/>
          <w:sz w:val="32"/>
          <w:szCs w:val="32"/>
          <w:lang w:eastAsia="zh-CN"/>
        </w:rPr>
        <w:t>红十字会</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2019年部门预算安排购置公务用车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numPr>
          <w:ilvl w:val="0"/>
          <w:numId w:val="0"/>
        </w:numPr>
        <w:tabs>
          <w:tab w:val="left" w:pos="1408"/>
        </w:tabs>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eastAsia="zh-CN"/>
        </w:rPr>
        <w:t>（六）</w:t>
      </w:r>
      <w:r>
        <w:rPr>
          <w:rFonts w:hint="eastAsia" w:ascii="仿宋_GB2312" w:hAnsi="楷体" w:eastAsia="仿宋_GB2312"/>
          <w:b/>
          <w:sz w:val="32"/>
          <w:szCs w:val="32"/>
        </w:rPr>
        <w:t>绩效目标设置情况。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rPr>
        <w:t>宿州市</w:t>
      </w:r>
      <w:r>
        <w:rPr>
          <w:rFonts w:hint="eastAsia" w:ascii="仿宋_GB2312" w:hAnsi="仿宋" w:eastAsia="仿宋_GB2312" w:cs="Times New Roman"/>
          <w:kern w:val="2"/>
          <w:sz w:val="32"/>
          <w:szCs w:val="32"/>
          <w:lang w:eastAsia="zh-CN"/>
        </w:rPr>
        <w:t>红十字会</w:t>
      </w:r>
      <w:r>
        <w:rPr>
          <w:rFonts w:hint="eastAsia" w:ascii="仿宋_GB2312" w:hAnsi="楷体" w:eastAsia="仿宋_GB2312"/>
          <w:sz w:val="32"/>
          <w:szCs w:val="32"/>
        </w:rPr>
        <w:t>2019年</w:t>
      </w:r>
      <w:r>
        <w:rPr>
          <w:rFonts w:hint="eastAsia" w:ascii="仿宋_GB2312" w:hAnsi="仿宋" w:eastAsia="仿宋_GB2312" w:cs="仿宋_GB2312"/>
          <w:sz w:val="32"/>
          <w:szCs w:val="32"/>
        </w:rPr>
        <w:t>无批复绩效目标项目</w:t>
      </w:r>
      <w:r>
        <w:rPr>
          <w:rFonts w:hint="eastAsia" w:ascii="仿宋_GB2312" w:hAnsi="仿宋" w:eastAsia="仿宋_GB2312" w:cs="仿宋_GB2312"/>
          <w:sz w:val="32"/>
          <w:szCs w:val="32"/>
          <w:lang w:eastAsia="zh-CN"/>
        </w:rPr>
        <w:t>，其他</w:t>
      </w:r>
      <w:r>
        <w:rPr>
          <w:rFonts w:hint="eastAsia" w:ascii="仿宋_GB2312" w:hAnsi="楷体" w:eastAsia="仿宋_GB2312"/>
          <w:sz w:val="32"/>
          <w:szCs w:val="32"/>
        </w:rPr>
        <w:t>项目支出按规定设置支出绩效目标，实行部门自评或第三方评价。</w:t>
      </w:r>
    </w:p>
    <w:p>
      <w:pPr>
        <w:adjustRightInd w:val="0"/>
        <w:snapToGrid w:val="0"/>
        <w:spacing w:line="600" w:lineRule="exact"/>
        <w:jc w:val="center"/>
        <w:rPr>
          <w:rFonts w:hint="eastAsia" w:ascii="黑体" w:eastAsia="黑体" w:cs="宋体"/>
          <w:sz w:val="36"/>
          <w:szCs w:val="36"/>
        </w:rPr>
      </w:pPr>
    </w:p>
    <w:p>
      <w:pPr>
        <w:adjustRightInd w:val="0"/>
        <w:snapToGrid w:val="0"/>
        <w:spacing w:line="600" w:lineRule="exact"/>
        <w:jc w:val="center"/>
        <w:rPr>
          <w:rFonts w:hint="eastAsia" w:ascii="黑体" w:hAnsi="黑体" w:eastAsia="黑体"/>
          <w:sz w:val="32"/>
          <w:szCs w:val="32"/>
        </w:rPr>
      </w:pPr>
      <w:r>
        <w:rPr>
          <w:rFonts w:hint="eastAsia" w:ascii="黑体" w:eastAsia="黑体" w:cs="宋体"/>
          <w:sz w:val="36"/>
          <w:szCs w:val="36"/>
        </w:rPr>
        <w:t>第四部分 名词解释</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w:t>
      </w:r>
      <w:r>
        <w:rPr>
          <w:rFonts w:hint="eastAsia" w:ascii="仿宋_GB2312" w:hAnsi="仿宋" w:eastAsia="仿宋_GB2312"/>
          <w:sz w:val="32"/>
          <w:szCs w:val="32"/>
          <w:lang w:eastAsia="zh-CN"/>
        </w:rPr>
        <w:t>市</w:t>
      </w:r>
      <w:r>
        <w:rPr>
          <w:rFonts w:hint="eastAsia" w:ascii="仿宋_GB2312" w:hAnsi="仿宋" w:eastAsia="仿宋_GB2312"/>
          <w:sz w:val="32"/>
          <w:szCs w:val="32"/>
        </w:rPr>
        <w:t>财政当年拨付的资金，主要包括一般公共预算拨款收入、政府性基金预算拨款收入、国有资本经营预算拨款收入。</w:t>
      </w:r>
    </w:p>
    <w:p>
      <w:pPr>
        <w:pStyle w:val="3"/>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二、财政专户管理非税收入：</w:t>
      </w:r>
      <w:r>
        <w:rPr>
          <w:rFonts w:hint="eastAsia" w:ascii="仿宋_GB2312" w:hAnsi="仿宋" w:eastAsia="仿宋_GB2312" w:cs="Times New Roman"/>
          <w:kern w:val="2"/>
          <w:sz w:val="32"/>
          <w:szCs w:val="32"/>
        </w:rPr>
        <w:t>指按照非税收入管理相关规定，纳入财政专户管理的教育收费等。</w:t>
      </w:r>
    </w:p>
    <w:p>
      <w:pPr>
        <w:pStyle w:val="3"/>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三、其他收入：</w:t>
      </w:r>
      <w:r>
        <w:rPr>
          <w:rFonts w:hint="eastAsia" w:ascii="仿宋_GB2312" w:hAnsi="仿宋" w:eastAsia="仿宋_GB2312" w:cs="Times New Roman"/>
          <w:kern w:val="2"/>
          <w:sz w:val="32"/>
          <w:szCs w:val="32"/>
        </w:rPr>
        <w:t>指除了财政拨款收入、财政专户管理非税收入等以外的收入。</w:t>
      </w:r>
    </w:p>
    <w:p>
      <w:pPr>
        <w:pStyle w:val="3"/>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四、上年结转：</w:t>
      </w:r>
      <w:r>
        <w:rPr>
          <w:rFonts w:hint="eastAsia" w:ascii="仿宋_GB2312" w:hAnsi="仿宋" w:eastAsia="仿宋_GB2312" w:cs="Times New Roman"/>
          <w:kern w:val="2"/>
          <w:sz w:val="32"/>
          <w:szCs w:val="32"/>
        </w:rPr>
        <w:t>指以前年度安排、结转到本年仍按原用途继续使用的资金。</w:t>
      </w:r>
    </w:p>
    <w:p>
      <w:pPr>
        <w:pStyle w:val="3"/>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五、结转下年：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3"/>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rPr>
        <w:t>六、基本支出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3"/>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黑体" w:hAnsi="黑体" w:eastAsia="黑体"/>
          <w:sz w:val="32"/>
          <w:szCs w:val="32"/>
        </w:rPr>
        <w:t>七、项目支出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numPr>
          <w:ilvl w:val="0"/>
          <w:numId w:val="0"/>
        </w:numPr>
        <w:adjustRightInd w:val="0"/>
        <w:snapToGrid w:val="0"/>
        <w:spacing w:line="600" w:lineRule="exact"/>
        <w:rPr>
          <w:rFonts w:hint="eastAsia" w:ascii="黑体" w:hAnsi="黑体" w:eastAsia="黑体"/>
          <w:sz w:val="32"/>
          <w:szCs w:val="32"/>
        </w:rPr>
      </w:pP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00" w:lineRule="exact"/>
        <w:jc w:val="center"/>
        <w:textAlignment w:val="auto"/>
        <w:rPr>
          <w:rFonts w:hint="eastAsia" w:ascii="黑体" w:hAnsi="黑体" w:eastAsia="黑体"/>
          <w:bCs/>
          <w:sz w:val="36"/>
          <w:szCs w:val="36"/>
        </w:rPr>
      </w:pPr>
    </w:p>
    <w:p>
      <w:pPr>
        <w:keepNext w:val="0"/>
        <w:keepLines w:val="0"/>
        <w:pageBreakBefore w:val="0"/>
        <w:kinsoku/>
        <w:wordWrap/>
        <w:overflowPunct/>
        <w:topLinePunct w:val="0"/>
        <w:autoSpaceDE/>
        <w:autoSpaceDN/>
        <w:bidi w:val="0"/>
        <w:spacing w:line="500" w:lineRule="exact"/>
        <w:textAlignment w:val="auto"/>
      </w:pPr>
    </w:p>
    <w:sectPr>
      <w:pgSz w:w="11906" w:h="16838"/>
      <w:pgMar w:top="1440" w:right="1417"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28B04"/>
    <w:multiLevelType w:val="singleLevel"/>
    <w:tmpl w:val="C0228B04"/>
    <w:lvl w:ilvl="0" w:tentative="0">
      <w:start w:val="9"/>
      <w:numFmt w:val="chineseCounting"/>
      <w:suff w:val="nothing"/>
      <w:lvlText w:val="%1、"/>
      <w:lvlJc w:val="left"/>
      <w:rPr>
        <w:rFonts w:hint="eastAsia"/>
      </w:rPr>
    </w:lvl>
  </w:abstractNum>
  <w:abstractNum w:abstractNumId="1">
    <w:nsid w:val="62980D44"/>
    <w:multiLevelType w:val="singleLevel"/>
    <w:tmpl w:val="62980D4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B2C2D"/>
    <w:rsid w:val="02457D6A"/>
    <w:rsid w:val="02BD1DE2"/>
    <w:rsid w:val="10CE3371"/>
    <w:rsid w:val="13AD23FA"/>
    <w:rsid w:val="1A4244E1"/>
    <w:rsid w:val="205804F0"/>
    <w:rsid w:val="23160A46"/>
    <w:rsid w:val="242B2C2D"/>
    <w:rsid w:val="24D812A7"/>
    <w:rsid w:val="2F5761A6"/>
    <w:rsid w:val="33604096"/>
    <w:rsid w:val="39992E19"/>
    <w:rsid w:val="3BE7029C"/>
    <w:rsid w:val="3E5667BF"/>
    <w:rsid w:val="57EE50AE"/>
    <w:rsid w:val="5BAC4E43"/>
    <w:rsid w:val="60397650"/>
    <w:rsid w:val="69072A46"/>
    <w:rsid w:val="6E184CE2"/>
    <w:rsid w:val="6EA31F76"/>
    <w:rsid w:val="7982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2019-02-12T05:42:00Z</dcterms:created>
  <dc:creator>Administrator</dc:creator>
  <cp:lastModifiedBy>Administrator</cp:lastModifiedBy>
  <cp:lastPrinted>2019-02-15T06:29:00Z</cp:lastPrinted>
  <dcterms:modified xsi:type="dcterms:W3CDTF">2019-02-18T03:31:11Z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