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85114">
      <w:pPr>
        <w:spacing w:line="560" w:lineRule="exact"/>
        <w:rPr>
          <w:rFonts w:ascii="Times New Roman" w:hAnsi="Times New Roman" w:eastAsia="方正小标宋_GBK" w:cs="Times New Roman"/>
          <w:bCs/>
          <w:sz w:val="44"/>
          <w:szCs w:val="44"/>
        </w:rPr>
      </w:pPr>
    </w:p>
    <w:p w14:paraId="4D6A60EC">
      <w:pPr>
        <w:spacing w:line="560" w:lineRule="exact"/>
        <w:jc w:val="center"/>
        <w:rPr>
          <w:rFonts w:ascii="Times New Roman" w:hAnsi="Times New Roman" w:eastAsia="方正小标宋_GBK" w:cs="Times New Roman"/>
          <w:bCs/>
          <w:sz w:val="44"/>
          <w:szCs w:val="44"/>
        </w:rPr>
      </w:pPr>
      <w:r>
        <w:rPr>
          <w:rFonts w:hint="eastAsia" w:ascii="Times New Roman" w:hAnsi="Times New Roman" w:eastAsia="方正小标宋_GBK" w:cs="Times New Roman"/>
          <w:bCs/>
          <w:sz w:val="44"/>
          <w:szCs w:val="44"/>
        </w:rPr>
        <w:t>宿州市</w:t>
      </w:r>
      <w:r>
        <w:rPr>
          <w:rFonts w:hint="eastAsia" w:ascii="Times New Roman" w:hAnsi="Times New Roman" w:eastAsia="方正小标宋_GBK" w:cs="Times New Roman"/>
          <w:bCs/>
          <w:sz w:val="44"/>
          <w:szCs w:val="44"/>
          <w:lang w:eastAsia="zh-CN"/>
        </w:rPr>
        <w:t>红十字会</w:t>
      </w:r>
      <w:r>
        <w:rPr>
          <w:rFonts w:ascii="Times New Roman" w:hAnsi="Times New Roman" w:eastAsia="方正小标宋_GBK" w:cs="Times New Roman"/>
          <w:bCs/>
          <w:sz w:val="44"/>
          <w:szCs w:val="44"/>
        </w:rPr>
        <w:t>2025年度一般公共</w:t>
      </w:r>
    </w:p>
    <w:p w14:paraId="59854DEA">
      <w:pPr>
        <w:spacing w:line="560" w:lineRule="exact"/>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预算财政拨款“三公”经费支出决算</w:t>
      </w:r>
    </w:p>
    <w:p w14:paraId="799EEEBB">
      <w:pPr>
        <w:spacing w:line="560" w:lineRule="exact"/>
        <w:jc w:val="center"/>
        <w:rPr>
          <w:rFonts w:ascii="楷体_GB2312" w:hAnsi="Times New Roman" w:eastAsia="楷体_GB2312" w:cs="Times New Roman"/>
          <w:sz w:val="32"/>
          <w:szCs w:val="32"/>
        </w:rPr>
      </w:pPr>
    </w:p>
    <w:p w14:paraId="19F5653B">
      <w:pPr>
        <w:spacing w:line="560" w:lineRule="exact"/>
        <w:ind w:firstLine="627"/>
        <w:rPr>
          <w:rFonts w:ascii="Times New Roman" w:hAnsi="Times New Roman" w:eastAsia="黑体" w:cs="Times New Roman"/>
          <w:sz w:val="32"/>
          <w:szCs w:val="32"/>
        </w:rPr>
      </w:pPr>
      <w:r>
        <w:rPr>
          <w:rFonts w:ascii="Times New Roman" w:hAnsi="Times New Roman" w:eastAsia="黑体" w:cs="Times New Roman"/>
          <w:sz w:val="32"/>
          <w:szCs w:val="32"/>
        </w:rPr>
        <w:t>一、2025年度一般公共预算财政拨款“三公”经费支出决算表</w:t>
      </w:r>
    </w:p>
    <w:tbl>
      <w:tblPr>
        <w:tblStyle w:val="4"/>
        <w:tblW w:w="5310" w:type="pct"/>
        <w:tblInd w:w="-414" w:type="dxa"/>
        <w:tblLayout w:type="autofit"/>
        <w:tblCellMar>
          <w:top w:w="0" w:type="dxa"/>
          <w:left w:w="0" w:type="dxa"/>
          <w:bottom w:w="0" w:type="dxa"/>
          <w:right w:w="0" w:type="dxa"/>
        </w:tblCellMar>
      </w:tblPr>
      <w:tblGrid>
        <w:gridCol w:w="560"/>
        <w:gridCol w:w="161"/>
        <w:gridCol w:w="691"/>
        <w:gridCol w:w="187"/>
        <w:gridCol w:w="419"/>
        <w:gridCol w:w="887"/>
        <w:gridCol w:w="1119"/>
        <w:gridCol w:w="662"/>
        <w:gridCol w:w="371"/>
        <w:gridCol w:w="195"/>
        <w:gridCol w:w="844"/>
        <w:gridCol w:w="129"/>
        <w:gridCol w:w="442"/>
        <w:gridCol w:w="444"/>
        <w:gridCol w:w="402"/>
        <w:gridCol w:w="1138"/>
        <w:gridCol w:w="706"/>
      </w:tblGrid>
      <w:tr w14:paraId="708083D5">
        <w:tblPrEx>
          <w:tblCellMar>
            <w:top w:w="0" w:type="dxa"/>
            <w:left w:w="0" w:type="dxa"/>
            <w:bottom w:w="0" w:type="dxa"/>
            <w:right w:w="0" w:type="dxa"/>
          </w:tblCellMar>
        </w:tblPrEx>
        <w:trPr>
          <w:trHeight w:val="290" w:hRule="atLeast"/>
        </w:trPr>
        <w:tc>
          <w:tcPr>
            <w:tcW w:w="386" w:type="pct"/>
            <w:gridSpan w:val="2"/>
            <w:tcBorders>
              <w:top w:val="nil"/>
              <w:left w:val="nil"/>
              <w:bottom w:val="nil"/>
              <w:right w:val="nil"/>
            </w:tcBorders>
            <w:shd w:val="clear" w:color="auto" w:fill="FFFFFF"/>
            <w:noWrap/>
            <w:tcMar>
              <w:top w:w="12" w:type="dxa"/>
              <w:left w:w="12" w:type="dxa"/>
              <w:right w:w="12" w:type="dxa"/>
            </w:tcMar>
            <w:vAlign w:val="center"/>
          </w:tcPr>
          <w:p w14:paraId="127E1D79">
            <w:pPr>
              <w:widowControl/>
              <w:jc w:val="left"/>
              <w:textAlignment w:val="center"/>
              <w:rPr>
                <w:rFonts w:ascii="宋体" w:hAnsi="宋体" w:eastAsia="宋体" w:cs="宋体"/>
                <w:color w:val="000000"/>
                <w:sz w:val="20"/>
                <w:szCs w:val="20"/>
              </w:rPr>
            </w:pPr>
          </w:p>
        </w:tc>
        <w:tc>
          <w:tcPr>
            <w:tcW w:w="469" w:type="pct"/>
            <w:gridSpan w:val="2"/>
            <w:tcBorders>
              <w:top w:val="nil"/>
              <w:left w:val="nil"/>
              <w:bottom w:val="nil"/>
              <w:right w:val="nil"/>
            </w:tcBorders>
            <w:shd w:val="clear" w:color="auto" w:fill="FFFFFF"/>
            <w:tcMar>
              <w:top w:w="12" w:type="dxa"/>
              <w:left w:w="12" w:type="dxa"/>
              <w:right w:w="12" w:type="dxa"/>
            </w:tcMar>
            <w:vAlign w:val="center"/>
          </w:tcPr>
          <w:p w14:paraId="2E7131B9">
            <w:pPr>
              <w:rPr>
                <w:rFonts w:ascii="宋体" w:hAnsi="宋体" w:eastAsia="宋体" w:cs="宋体"/>
                <w:color w:val="000000"/>
                <w:sz w:val="20"/>
                <w:szCs w:val="20"/>
              </w:rPr>
            </w:pPr>
          </w:p>
        </w:tc>
        <w:tc>
          <w:tcPr>
            <w:tcW w:w="224" w:type="pct"/>
            <w:tcBorders>
              <w:top w:val="nil"/>
              <w:left w:val="nil"/>
              <w:bottom w:val="nil"/>
              <w:right w:val="nil"/>
            </w:tcBorders>
            <w:shd w:val="clear" w:color="auto" w:fill="FFFFFF"/>
            <w:tcMar>
              <w:top w:w="12" w:type="dxa"/>
              <w:left w:w="12" w:type="dxa"/>
              <w:right w:w="12" w:type="dxa"/>
            </w:tcMar>
            <w:vAlign w:val="center"/>
          </w:tcPr>
          <w:p w14:paraId="0C590859">
            <w:pPr>
              <w:rPr>
                <w:rFonts w:ascii="宋体" w:hAnsi="宋体" w:eastAsia="宋体" w:cs="宋体"/>
                <w:color w:val="000000"/>
                <w:sz w:val="20"/>
                <w:szCs w:val="20"/>
              </w:rPr>
            </w:pPr>
          </w:p>
        </w:tc>
        <w:tc>
          <w:tcPr>
            <w:tcW w:w="474" w:type="pct"/>
            <w:tcBorders>
              <w:top w:val="nil"/>
              <w:left w:val="nil"/>
              <w:bottom w:val="nil"/>
              <w:right w:val="nil"/>
            </w:tcBorders>
            <w:shd w:val="clear" w:color="auto" w:fill="FFFFFF"/>
            <w:tcMar>
              <w:top w:w="12" w:type="dxa"/>
              <w:left w:w="12" w:type="dxa"/>
              <w:right w:w="12" w:type="dxa"/>
            </w:tcMar>
            <w:vAlign w:val="center"/>
          </w:tcPr>
          <w:p w14:paraId="057A7506">
            <w:pPr>
              <w:rPr>
                <w:rFonts w:ascii="宋体" w:hAnsi="宋体" w:eastAsia="宋体" w:cs="宋体"/>
                <w:color w:val="000000"/>
                <w:sz w:val="20"/>
                <w:szCs w:val="20"/>
              </w:rPr>
            </w:pPr>
          </w:p>
        </w:tc>
        <w:tc>
          <w:tcPr>
            <w:tcW w:w="598" w:type="pct"/>
            <w:tcBorders>
              <w:top w:val="nil"/>
              <w:left w:val="nil"/>
              <w:bottom w:val="nil"/>
              <w:right w:val="nil"/>
            </w:tcBorders>
            <w:shd w:val="clear" w:color="auto" w:fill="FFFFFF"/>
            <w:tcMar>
              <w:top w:w="12" w:type="dxa"/>
              <w:left w:w="12" w:type="dxa"/>
              <w:right w:w="12" w:type="dxa"/>
            </w:tcMar>
            <w:vAlign w:val="center"/>
          </w:tcPr>
          <w:p w14:paraId="4DE7F06A">
            <w:pPr>
              <w:rPr>
                <w:rFonts w:ascii="宋体" w:hAnsi="宋体" w:eastAsia="宋体" w:cs="宋体"/>
                <w:color w:val="000000"/>
                <w:sz w:val="20"/>
                <w:szCs w:val="20"/>
              </w:rPr>
            </w:pPr>
          </w:p>
        </w:tc>
        <w:tc>
          <w:tcPr>
            <w:tcW w:w="353" w:type="pct"/>
            <w:tcBorders>
              <w:top w:val="nil"/>
              <w:left w:val="nil"/>
              <w:bottom w:val="nil"/>
              <w:right w:val="nil"/>
            </w:tcBorders>
            <w:shd w:val="clear" w:color="auto" w:fill="FFFFFF"/>
            <w:tcMar>
              <w:top w:w="12" w:type="dxa"/>
              <w:left w:w="12" w:type="dxa"/>
              <w:right w:w="12" w:type="dxa"/>
            </w:tcMar>
            <w:vAlign w:val="center"/>
          </w:tcPr>
          <w:p w14:paraId="31C10481">
            <w:pPr>
              <w:rPr>
                <w:rFonts w:ascii="宋体" w:hAnsi="宋体" w:eastAsia="宋体" w:cs="宋体"/>
                <w:color w:val="000000"/>
                <w:sz w:val="20"/>
                <w:szCs w:val="20"/>
              </w:rPr>
            </w:pPr>
          </w:p>
        </w:tc>
        <w:tc>
          <w:tcPr>
            <w:tcW w:w="198" w:type="pct"/>
            <w:tcBorders>
              <w:top w:val="nil"/>
              <w:left w:val="nil"/>
              <w:bottom w:val="nil"/>
              <w:right w:val="nil"/>
            </w:tcBorders>
            <w:shd w:val="clear" w:color="auto" w:fill="FFFFFF"/>
            <w:tcMar>
              <w:top w:w="12" w:type="dxa"/>
              <w:left w:w="12" w:type="dxa"/>
              <w:right w:w="12" w:type="dxa"/>
            </w:tcMar>
            <w:vAlign w:val="center"/>
          </w:tcPr>
          <w:p w14:paraId="45A013DB">
            <w:pPr>
              <w:rPr>
                <w:rFonts w:ascii="宋体" w:hAnsi="宋体" w:eastAsia="宋体" w:cs="宋体"/>
                <w:color w:val="000000"/>
                <w:sz w:val="20"/>
                <w:szCs w:val="20"/>
              </w:rPr>
            </w:pPr>
          </w:p>
        </w:tc>
        <w:tc>
          <w:tcPr>
            <w:tcW w:w="555" w:type="pct"/>
            <w:gridSpan w:val="2"/>
            <w:tcBorders>
              <w:top w:val="nil"/>
              <w:left w:val="nil"/>
              <w:bottom w:val="nil"/>
              <w:right w:val="nil"/>
            </w:tcBorders>
            <w:shd w:val="clear" w:color="auto" w:fill="FFFFFF"/>
            <w:tcMar>
              <w:top w:w="12" w:type="dxa"/>
              <w:left w:w="12" w:type="dxa"/>
              <w:right w:w="12" w:type="dxa"/>
            </w:tcMar>
            <w:vAlign w:val="center"/>
          </w:tcPr>
          <w:p w14:paraId="4EA9F63A">
            <w:pPr>
              <w:rPr>
                <w:rFonts w:ascii="宋体" w:hAnsi="宋体" w:eastAsia="宋体" w:cs="宋体"/>
                <w:color w:val="000000"/>
                <w:sz w:val="20"/>
                <w:szCs w:val="20"/>
              </w:rPr>
            </w:pPr>
          </w:p>
        </w:tc>
        <w:tc>
          <w:tcPr>
            <w:tcW w:w="69" w:type="pct"/>
            <w:tcBorders>
              <w:top w:val="nil"/>
              <w:left w:val="nil"/>
              <w:bottom w:val="nil"/>
              <w:right w:val="nil"/>
            </w:tcBorders>
            <w:shd w:val="clear" w:color="auto" w:fill="FFFFFF"/>
            <w:tcMar>
              <w:top w:w="12" w:type="dxa"/>
              <w:left w:w="12" w:type="dxa"/>
              <w:right w:w="12" w:type="dxa"/>
            </w:tcMar>
            <w:vAlign w:val="center"/>
          </w:tcPr>
          <w:p w14:paraId="165D15E3">
            <w:pPr>
              <w:rPr>
                <w:rFonts w:ascii="宋体" w:hAnsi="宋体" w:eastAsia="宋体" w:cs="宋体"/>
                <w:color w:val="000000"/>
                <w:sz w:val="20"/>
                <w:szCs w:val="20"/>
              </w:rPr>
            </w:pPr>
          </w:p>
        </w:tc>
        <w:tc>
          <w:tcPr>
            <w:tcW w:w="473" w:type="pct"/>
            <w:gridSpan w:val="2"/>
            <w:tcBorders>
              <w:top w:val="nil"/>
              <w:left w:val="nil"/>
              <w:bottom w:val="nil"/>
              <w:right w:val="nil"/>
            </w:tcBorders>
            <w:shd w:val="clear" w:color="auto" w:fill="FFFFFF"/>
            <w:tcMar>
              <w:top w:w="12" w:type="dxa"/>
              <w:left w:w="12" w:type="dxa"/>
              <w:right w:w="12" w:type="dxa"/>
            </w:tcMar>
            <w:vAlign w:val="center"/>
          </w:tcPr>
          <w:p w14:paraId="447B0DBA">
            <w:pPr>
              <w:rPr>
                <w:rFonts w:ascii="宋体" w:hAnsi="宋体" w:eastAsia="宋体" w:cs="宋体"/>
                <w:color w:val="000000"/>
                <w:sz w:val="20"/>
                <w:szCs w:val="20"/>
              </w:rPr>
            </w:pPr>
          </w:p>
        </w:tc>
        <w:tc>
          <w:tcPr>
            <w:tcW w:w="1201" w:type="pct"/>
            <w:gridSpan w:val="3"/>
            <w:tcBorders>
              <w:top w:val="nil"/>
              <w:left w:val="nil"/>
              <w:bottom w:val="nil"/>
              <w:right w:val="nil"/>
            </w:tcBorders>
            <w:shd w:val="clear" w:color="auto" w:fill="FFFFFF"/>
            <w:tcMar>
              <w:top w:w="12" w:type="dxa"/>
              <w:left w:w="12" w:type="dxa"/>
              <w:right w:w="12" w:type="dxa"/>
            </w:tcMar>
            <w:vAlign w:val="center"/>
          </w:tcPr>
          <w:p w14:paraId="4953EEE2">
            <w:pPr>
              <w:widowControl/>
              <w:jc w:val="right"/>
              <w:textAlignment w:val="center"/>
              <w:rPr>
                <w:rFonts w:ascii="宋体" w:hAnsi="宋体" w:eastAsia="宋体" w:cs="宋体"/>
                <w:color w:val="000000"/>
                <w:sz w:val="20"/>
                <w:szCs w:val="20"/>
              </w:rPr>
            </w:pPr>
            <w:r>
              <w:rPr>
                <w:rFonts w:hint="eastAsia" w:ascii="宋体" w:hAnsi="宋体" w:eastAsia="宋体" w:cs="Arial"/>
                <w:color w:val="000000"/>
                <w:kern w:val="0"/>
                <w:sz w:val="22"/>
              </w:rPr>
              <w:t>金额单位</w:t>
            </w:r>
            <w:r>
              <w:rPr>
                <w:rFonts w:hint="eastAsia" w:ascii="宋体" w:hAnsi="宋体" w:eastAsia="宋体" w:cs="宋体"/>
                <w:color w:val="000000"/>
                <w:kern w:val="0"/>
                <w:sz w:val="20"/>
                <w:szCs w:val="20"/>
              </w:rPr>
              <w:t>：万元</w:t>
            </w:r>
          </w:p>
        </w:tc>
      </w:tr>
      <w:tr w14:paraId="2215F351">
        <w:tblPrEx>
          <w:tblCellMar>
            <w:top w:w="0" w:type="dxa"/>
            <w:left w:w="0" w:type="dxa"/>
            <w:bottom w:w="0" w:type="dxa"/>
            <w:right w:w="0" w:type="dxa"/>
          </w:tblCellMar>
        </w:tblPrEx>
        <w:trPr>
          <w:trHeight w:val="540" w:hRule="atLeast"/>
        </w:trPr>
        <w:tc>
          <w:tcPr>
            <w:tcW w:w="2505" w:type="pct"/>
            <w:gridSpan w:val="8"/>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18659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预算数</w:t>
            </w:r>
          </w:p>
        </w:tc>
        <w:tc>
          <w:tcPr>
            <w:tcW w:w="2495" w:type="pct"/>
            <w:gridSpan w:val="9"/>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43AC0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决算数</w:t>
            </w:r>
          </w:p>
        </w:tc>
      </w:tr>
      <w:tr w14:paraId="01F64AEB">
        <w:tblPrEx>
          <w:tblCellMar>
            <w:top w:w="0" w:type="dxa"/>
            <w:left w:w="0" w:type="dxa"/>
            <w:bottom w:w="0" w:type="dxa"/>
            <w:right w:w="0" w:type="dxa"/>
          </w:tblCellMar>
        </w:tblPrEx>
        <w:trPr>
          <w:trHeight w:val="737" w:hRule="atLeast"/>
        </w:trPr>
        <w:tc>
          <w:tcPr>
            <w:tcW w:w="300" w:type="pct"/>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716CD2B">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合计</w:t>
            </w:r>
          </w:p>
        </w:tc>
        <w:tc>
          <w:tcPr>
            <w:tcW w:w="455" w:type="pct"/>
            <w:gridSpan w:val="2"/>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9E3DEFB">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因公出国（境）费</w:t>
            </w:r>
          </w:p>
        </w:tc>
        <w:tc>
          <w:tcPr>
            <w:tcW w:w="1396" w:type="pct"/>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36D348">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公务用车购置及运行维护费</w:t>
            </w:r>
          </w:p>
        </w:tc>
        <w:tc>
          <w:tcPr>
            <w:tcW w:w="353" w:type="pct"/>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2F6702">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公务接待费</w:t>
            </w:r>
          </w:p>
        </w:tc>
        <w:tc>
          <w:tcPr>
            <w:tcW w:w="302" w:type="pct"/>
            <w:gridSpan w:val="2"/>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377715">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合计</w:t>
            </w:r>
          </w:p>
        </w:tc>
        <w:tc>
          <w:tcPr>
            <w:tcW w:w="450" w:type="pct"/>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BF83D2">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因公出国（境）费</w:t>
            </w:r>
          </w:p>
        </w:tc>
        <w:tc>
          <w:tcPr>
            <w:tcW w:w="1365" w:type="pct"/>
            <w:gridSpan w:val="5"/>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0E0874">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公务用车购置及运行维护费</w:t>
            </w:r>
          </w:p>
        </w:tc>
        <w:tc>
          <w:tcPr>
            <w:tcW w:w="378" w:type="pct"/>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5EE067">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公务接待费</w:t>
            </w:r>
          </w:p>
        </w:tc>
      </w:tr>
      <w:tr w14:paraId="1F36DD47">
        <w:tblPrEx>
          <w:tblCellMar>
            <w:top w:w="0" w:type="dxa"/>
            <w:left w:w="0" w:type="dxa"/>
            <w:bottom w:w="0" w:type="dxa"/>
            <w:right w:w="0" w:type="dxa"/>
          </w:tblCellMar>
        </w:tblPrEx>
        <w:trPr>
          <w:trHeight w:val="638" w:hRule="atLeast"/>
        </w:trPr>
        <w:tc>
          <w:tcPr>
            <w:tcW w:w="300" w:type="pct"/>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DD8D60F">
            <w:pPr>
              <w:jc w:val="center"/>
              <w:rPr>
                <w:rFonts w:ascii="宋体" w:hAnsi="宋体" w:eastAsia="宋体" w:cs="宋体"/>
                <w:color w:val="000000"/>
                <w:sz w:val="20"/>
                <w:szCs w:val="20"/>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B5509E">
            <w:pPr>
              <w:jc w:val="center"/>
              <w:rPr>
                <w:rFonts w:ascii="宋体" w:hAnsi="宋体" w:eastAsia="宋体" w:cs="宋体"/>
                <w:color w:val="000000"/>
                <w:sz w:val="20"/>
                <w:szCs w:val="20"/>
              </w:rPr>
            </w:pPr>
          </w:p>
        </w:tc>
        <w:tc>
          <w:tcPr>
            <w:tcW w:w="324"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4355298">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小计</w:t>
            </w:r>
          </w:p>
        </w:tc>
        <w:tc>
          <w:tcPr>
            <w:tcW w:w="474"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A700EDB">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公务用车购置费</w:t>
            </w:r>
          </w:p>
        </w:tc>
        <w:tc>
          <w:tcPr>
            <w:tcW w:w="598"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0B342E">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公务用车运行维护费</w:t>
            </w:r>
          </w:p>
        </w:tc>
        <w:tc>
          <w:tcPr>
            <w:tcW w:w="353" w:type="pct"/>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2E3C98">
            <w:pPr>
              <w:jc w:val="center"/>
              <w:rPr>
                <w:rFonts w:ascii="宋体" w:hAnsi="宋体" w:eastAsia="宋体" w:cs="宋体"/>
                <w:color w:val="000000"/>
                <w:sz w:val="20"/>
                <w:szCs w:val="20"/>
              </w:rPr>
            </w:pPr>
          </w:p>
        </w:tc>
        <w:tc>
          <w:tcPr>
            <w:tcW w:w="302" w:type="pct"/>
            <w:gridSpan w:val="2"/>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03B261">
            <w:pPr>
              <w:jc w:val="center"/>
              <w:rPr>
                <w:rFonts w:ascii="宋体" w:hAnsi="宋体" w:eastAsia="宋体" w:cs="宋体"/>
                <w:color w:val="000000"/>
                <w:sz w:val="20"/>
                <w:szCs w:val="20"/>
              </w:rPr>
            </w:pPr>
          </w:p>
        </w:tc>
        <w:tc>
          <w:tcPr>
            <w:tcW w:w="450" w:type="pct"/>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E5D8FC1">
            <w:pPr>
              <w:jc w:val="center"/>
              <w:rPr>
                <w:rFonts w:ascii="宋体" w:hAnsi="宋体" w:eastAsia="宋体" w:cs="宋体"/>
                <w:color w:val="000000"/>
                <w:sz w:val="20"/>
                <w:szCs w:val="20"/>
              </w:rPr>
            </w:pPr>
          </w:p>
        </w:tc>
        <w:tc>
          <w:tcPr>
            <w:tcW w:w="305"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74B90E">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小计</w:t>
            </w:r>
          </w:p>
        </w:tc>
        <w:tc>
          <w:tcPr>
            <w:tcW w:w="452"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C9A96F">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公务用车购置费</w:t>
            </w:r>
          </w:p>
        </w:tc>
        <w:tc>
          <w:tcPr>
            <w:tcW w:w="608"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B4CE39">
            <w:pPr>
              <w:widowControl/>
              <w:spacing w:line="30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公务用车运行维护费</w:t>
            </w:r>
          </w:p>
        </w:tc>
        <w:tc>
          <w:tcPr>
            <w:tcW w:w="378" w:type="pct"/>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5838C0">
            <w:pPr>
              <w:jc w:val="center"/>
              <w:rPr>
                <w:rFonts w:ascii="宋体" w:hAnsi="宋体" w:eastAsia="宋体" w:cs="宋体"/>
                <w:color w:val="000000"/>
                <w:sz w:val="18"/>
                <w:szCs w:val="18"/>
              </w:rPr>
            </w:pPr>
          </w:p>
        </w:tc>
      </w:tr>
      <w:tr w14:paraId="58024FA8">
        <w:tblPrEx>
          <w:tblCellMar>
            <w:top w:w="0" w:type="dxa"/>
            <w:left w:w="0" w:type="dxa"/>
            <w:bottom w:w="0" w:type="dxa"/>
            <w:right w:w="0" w:type="dxa"/>
          </w:tblCellMar>
        </w:tblPrEx>
        <w:trPr>
          <w:trHeight w:val="540" w:hRule="atLeast"/>
        </w:trPr>
        <w:tc>
          <w:tcPr>
            <w:tcW w:w="300"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5A7CF98">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1</w:t>
            </w:r>
          </w:p>
        </w:tc>
        <w:tc>
          <w:tcPr>
            <w:tcW w:w="455"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AB6660">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2</w:t>
            </w:r>
          </w:p>
        </w:tc>
        <w:tc>
          <w:tcPr>
            <w:tcW w:w="324"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596590D">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3</w:t>
            </w:r>
          </w:p>
        </w:tc>
        <w:tc>
          <w:tcPr>
            <w:tcW w:w="474"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9522A01">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4</w:t>
            </w:r>
          </w:p>
        </w:tc>
        <w:tc>
          <w:tcPr>
            <w:tcW w:w="598"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9406507">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5</w:t>
            </w:r>
          </w:p>
        </w:tc>
        <w:tc>
          <w:tcPr>
            <w:tcW w:w="353"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B351B8">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6</w:t>
            </w:r>
          </w:p>
        </w:tc>
        <w:tc>
          <w:tcPr>
            <w:tcW w:w="302"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E4BEE2">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7</w:t>
            </w:r>
          </w:p>
        </w:tc>
        <w:tc>
          <w:tcPr>
            <w:tcW w:w="450"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E4D88D">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8</w:t>
            </w:r>
          </w:p>
        </w:tc>
        <w:tc>
          <w:tcPr>
            <w:tcW w:w="305"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ED81C1">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9</w:t>
            </w:r>
          </w:p>
        </w:tc>
        <w:tc>
          <w:tcPr>
            <w:tcW w:w="452"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CB4615">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10</w:t>
            </w:r>
          </w:p>
        </w:tc>
        <w:tc>
          <w:tcPr>
            <w:tcW w:w="608"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7B814AC">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11</w:t>
            </w:r>
          </w:p>
        </w:tc>
        <w:tc>
          <w:tcPr>
            <w:tcW w:w="378"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FCB7AC5">
            <w:pPr>
              <w:widowControl/>
              <w:jc w:val="center"/>
              <w:textAlignment w:val="center"/>
              <w:rPr>
                <w:rFonts w:ascii="宋体" w:hAnsi="宋体" w:eastAsia="宋体" w:cs="宋体"/>
                <w:color w:val="000000"/>
                <w:sz w:val="20"/>
                <w:szCs w:val="20"/>
              </w:rPr>
            </w:pPr>
            <w:r>
              <w:rPr>
                <w:rFonts w:hint="eastAsia" w:ascii="Times New Roman" w:hAnsi="Times New Roman" w:eastAsia="宋体" w:cs="宋体"/>
                <w:color w:val="000000"/>
                <w:kern w:val="0"/>
                <w:sz w:val="20"/>
                <w:szCs w:val="20"/>
              </w:rPr>
              <w:t>12</w:t>
            </w:r>
          </w:p>
        </w:tc>
      </w:tr>
      <w:tr w14:paraId="7C437534">
        <w:tblPrEx>
          <w:tblCellMar>
            <w:top w:w="0" w:type="dxa"/>
            <w:left w:w="0" w:type="dxa"/>
            <w:bottom w:w="0" w:type="dxa"/>
            <w:right w:w="0" w:type="dxa"/>
          </w:tblCellMar>
        </w:tblPrEx>
        <w:trPr>
          <w:trHeight w:val="414" w:hRule="atLeast"/>
        </w:trPr>
        <w:tc>
          <w:tcPr>
            <w:tcW w:w="300"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8BEB67">
            <w:pPr>
              <w:jc w:val="center"/>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0.79</w:t>
            </w:r>
          </w:p>
        </w:tc>
        <w:tc>
          <w:tcPr>
            <w:tcW w:w="455"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EDD851">
            <w:pPr>
              <w:jc w:val="center"/>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0.00</w:t>
            </w:r>
          </w:p>
        </w:tc>
        <w:tc>
          <w:tcPr>
            <w:tcW w:w="324"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A49DB4">
            <w:pPr>
              <w:jc w:val="center"/>
              <w:rPr>
                <w:rFonts w:ascii="宋体" w:hAnsi="宋体" w:eastAsia="宋体" w:cs="宋体"/>
                <w:color w:val="000000"/>
                <w:sz w:val="20"/>
                <w:szCs w:val="20"/>
              </w:rPr>
            </w:pPr>
            <w:r>
              <w:rPr>
                <w:rFonts w:hint="eastAsia" w:ascii="宋体" w:hAnsi="宋体" w:eastAsia="宋体" w:cs="宋体"/>
                <w:color w:val="000000"/>
                <w:sz w:val="20"/>
                <w:szCs w:val="20"/>
                <w:lang w:val="en-US" w:eastAsia="zh-CN"/>
              </w:rPr>
              <w:t>0.00</w:t>
            </w:r>
          </w:p>
        </w:tc>
        <w:tc>
          <w:tcPr>
            <w:tcW w:w="474"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1DD3D27">
            <w:pPr>
              <w:jc w:val="center"/>
              <w:rPr>
                <w:rFonts w:ascii="宋体" w:hAnsi="宋体" w:eastAsia="宋体" w:cs="宋体"/>
                <w:color w:val="000000"/>
                <w:sz w:val="20"/>
                <w:szCs w:val="20"/>
              </w:rPr>
            </w:pPr>
            <w:r>
              <w:rPr>
                <w:rFonts w:hint="eastAsia" w:ascii="宋体" w:hAnsi="宋体" w:eastAsia="宋体" w:cs="宋体"/>
                <w:color w:val="000000"/>
                <w:sz w:val="20"/>
                <w:szCs w:val="20"/>
                <w:lang w:val="en-US" w:eastAsia="zh-CN"/>
              </w:rPr>
              <w:t>0.00</w:t>
            </w:r>
          </w:p>
        </w:tc>
        <w:tc>
          <w:tcPr>
            <w:tcW w:w="598"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28F603">
            <w:pPr>
              <w:jc w:val="center"/>
              <w:rPr>
                <w:rFonts w:ascii="宋体" w:hAnsi="宋体" w:eastAsia="宋体" w:cs="宋体"/>
                <w:color w:val="000000"/>
                <w:sz w:val="20"/>
                <w:szCs w:val="20"/>
              </w:rPr>
            </w:pPr>
            <w:r>
              <w:rPr>
                <w:rFonts w:hint="eastAsia" w:ascii="宋体" w:hAnsi="宋体" w:eastAsia="宋体" w:cs="宋体"/>
                <w:color w:val="000000"/>
                <w:sz w:val="20"/>
                <w:szCs w:val="20"/>
                <w:lang w:val="en-US" w:eastAsia="zh-CN"/>
              </w:rPr>
              <w:t>0.00</w:t>
            </w:r>
          </w:p>
        </w:tc>
        <w:tc>
          <w:tcPr>
            <w:tcW w:w="353"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7D10EA0">
            <w:pPr>
              <w:jc w:val="center"/>
              <w:rPr>
                <w:rFonts w:hint="default" w:ascii="宋体" w:hAnsi="宋体" w:eastAsia="宋体" w:cs="宋体"/>
                <w:color w:val="000000"/>
                <w:sz w:val="20"/>
                <w:szCs w:val="20"/>
                <w:lang w:val="en-US"/>
              </w:rPr>
            </w:pPr>
            <w:r>
              <w:rPr>
                <w:rFonts w:hint="eastAsia" w:ascii="宋体" w:hAnsi="宋体" w:eastAsia="宋体" w:cs="宋体"/>
                <w:color w:val="000000"/>
                <w:sz w:val="20"/>
                <w:szCs w:val="20"/>
                <w:lang w:val="en-US" w:eastAsia="zh-CN"/>
              </w:rPr>
              <w:t>0.79</w:t>
            </w:r>
          </w:p>
        </w:tc>
        <w:tc>
          <w:tcPr>
            <w:tcW w:w="302"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8CD353">
            <w:pPr>
              <w:jc w:val="center"/>
              <w:rPr>
                <w:rFonts w:ascii="宋体" w:hAnsi="宋体" w:eastAsia="宋体" w:cs="宋体"/>
                <w:color w:val="000000"/>
                <w:sz w:val="20"/>
                <w:szCs w:val="20"/>
              </w:rPr>
            </w:pPr>
            <w:r>
              <w:rPr>
                <w:rFonts w:hint="eastAsia" w:ascii="宋体" w:hAnsi="宋体" w:eastAsia="宋体" w:cs="宋体"/>
                <w:color w:val="000000"/>
                <w:sz w:val="20"/>
                <w:szCs w:val="20"/>
                <w:lang w:val="en-US" w:eastAsia="zh-CN"/>
              </w:rPr>
              <w:t>0.00</w:t>
            </w:r>
          </w:p>
        </w:tc>
        <w:tc>
          <w:tcPr>
            <w:tcW w:w="450"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8C41E33">
            <w:pPr>
              <w:jc w:val="center"/>
              <w:rPr>
                <w:rFonts w:ascii="宋体" w:hAnsi="宋体" w:eastAsia="宋体" w:cs="宋体"/>
                <w:color w:val="000000"/>
                <w:sz w:val="20"/>
                <w:szCs w:val="20"/>
              </w:rPr>
            </w:pPr>
            <w:r>
              <w:rPr>
                <w:rFonts w:hint="eastAsia" w:ascii="宋体" w:hAnsi="宋体" w:eastAsia="宋体" w:cs="宋体"/>
                <w:color w:val="000000"/>
                <w:sz w:val="20"/>
                <w:szCs w:val="20"/>
                <w:lang w:val="en-US" w:eastAsia="zh-CN"/>
              </w:rPr>
              <w:t>0.00</w:t>
            </w:r>
          </w:p>
        </w:tc>
        <w:tc>
          <w:tcPr>
            <w:tcW w:w="305"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2136EA">
            <w:pPr>
              <w:jc w:val="center"/>
              <w:rPr>
                <w:rFonts w:ascii="宋体" w:hAnsi="宋体" w:eastAsia="宋体" w:cs="宋体"/>
                <w:color w:val="000000"/>
                <w:sz w:val="20"/>
                <w:szCs w:val="20"/>
              </w:rPr>
            </w:pPr>
            <w:r>
              <w:rPr>
                <w:rFonts w:hint="eastAsia" w:ascii="宋体" w:hAnsi="宋体" w:eastAsia="宋体" w:cs="宋体"/>
                <w:color w:val="000000"/>
                <w:sz w:val="20"/>
                <w:szCs w:val="20"/>
                <w:lang w:val="en-US" w:eastAsia="zh-CN"/>
              </w:rPr>
              <w:t>0.00</w:t>
            </w:r>
          </w:p>
        </w:tc>
        <w:tc>
          <w:tcPr>
            <w:tcW w:w="452" w:type="pct"/>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1D56FB">
            <w:pPr>
              <w:jc w:val="center"/>
              <w:rPr>
                <w:rFonts w:ascii="宋体" w:hAnsi="宋体" w:eastAsia="宋体" w:cs="宋体"/>
                <w:color w:val="000000"/>
                <w:sz w:val="20"/>
                <w:szCs w:val="20"/>
              </w:rPr>
            </w:pPr>
            <w:r>
              <w:rPr>
                <w:rFonts w:hint="eastAsia" w:ascii="宋体" w:hAnsi="宋体" w:eastAsia="宋体" w:cs="宋体"/>
                <w:color w:val="000000"/>
                <w:sz w:val="20"/>
                <w:szCs w:val="20"/>
                <w:lang w:val="en-US" w:eastAsia="zh-CN"/>
              </w:rPr>
              <w:t>0.00</w:t>
            </w:r>
          </w:p>
        </w:tc>
        <w:tc>
          <w:tcPr>
            <w:tcW w:w="608"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049657B">
            <w:pPr>
              <w:jc w:val="center"/>
              <w:rPr>
                <w:rFonts w:ascii="宋体" w:hAnsi="宋体" w:eastAsia="宋体" w:cs="宋体"/>
                <w:color w:val="000000"/>
                <w:sz w:val="20"/>
                <w:szCs w:val="20"/>
              </w:rPr>
            </w:pPr>
            <w:r>
              <w:rPr>
                <w:rFonts w:hint="eastAsia" w:ascii="宋体" w:hAnsi="宋体" w:eastAsia="宋体" w:cs="宋体"/>
                <w:color w:val="000000"/>
                <w:sz w:val="20"/>
                <w:szCs w:val="20"/>
                <w:lang w:val="en-US" w:eastAsia="zh-CN"/>
              </w:rPr>
              <w:t>0.00</w:t>
            </w:r>
          </w:p>
        </w:tc>
        <w:tc>
          <w:tcPr>
            <w:tcW w:w="378"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AAA8843">
            <w:pPr>
              <w:jc w:val="center"/>
              <w:rPr>
                <w:rFonts w:hint="default" w:ascii="宋体" w:hAnsi="宋体" w:eastAsia="宋体" w:cs="宋体"/>
                <w:color w:val="000000"/>
                <w:sz w:val="20"/>
                <w:szCs w:val="20"/>
                <w:lang w:val="en-US"/>
              </w:rPr>
            </w:pPr>
            <w:r>
              <w:rPr>
                <w:rFonts w:hint="eastAsia" w:ascii="宋体" w:hAnsi="宋体" w:eastAsia="宋体" w:cs="宋体"/>
                <w:color w:val="000000"/>
                <w:sz w:val="20"/>
                <w:szCs w:val="20"/>
                <w:lang w:val="en-US" w:eastAsia="zh-CN"/>
              </w:rPr>
              <w:t>0.79</w:t>
            </w:r>
          </w:p>
        </w:tc>
      </w:tr>
    </w:tbl>
    <w:p w14:paraId="62E4CE78">
      <w:pPr>
        <w:spacing w:line="300" w:lineRule="exact"/>
        <w:rPr>
          <w:rFonts w:ascii="黑体" w:hAnsi="黑体" w:eastAsia="黑体" w:cs="Times New Roman"/>
          <w:sz w:val="32"/>
          <w:szCs w:val="32"/>
        </w:rPr>
      </w:pPr>
      <w:r>
        <w:rPr>
          <w:rFonts w:hint="eastAsia" w:ascii="仿宋_GB2312" w:hAnsi="仿宋" w:eastAsia="仿宋_GB2312" w:cs="Times New Roman"/>
          <w:szCs w:val="21"/>
        </w:rPr>
        <w:t xml:space="preserve">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 </w:t>
      </w:r>
      <w:r>
        <w:rPr>
          <w:rFonts w:hint="eastAsia" w:ascii="仿宋_GB2312" w:hAnsi="仿宋" w:eastAsia="仿宋_GB2312" w:cs="Times New Roman"/>
          <w:sz w:val="32"/>
          <w:szCs w:val="32"/>
        </w:rPr>
        <w:t xml:space="preserve"> </w:t>
      </w:r>
      <w:r>
        <w:rPr>
          <w:rFonts w:hint="eastAsia" w:ascii="黑体" w:hAnsi="黑体" w:eastAsia="黑体" w:cs="Times New Roman"/>
          <w:sz w:val="32"/>
          <w:szCs w:val="32"/>
        </w:rPr>
        <w:t xml:space="preserve">                                      </w:t>
      </w:r>
    </w:p>
    <w:p w14:paraId="3C9408DC">
      <w:pPr>
        <w:spacing w:line="560" w:lineRule="exact"/>
        <w:rPr>
          <w:rFonts w:ascii="Times New Roman" w:hAnsi="Times New Roman" w:eastAsia="黑体" w:cs="Times New Roman"/>
          <w:sz w:val="32"/>
          <w:szCs w:val="32"/>
        </w:rPr>
      </w:pPr>
      <w:r>
        <w:rPr>
          <w:rFonts w:ascii="黑体" w:hAnsi="黑体" w:eastAsia="黑体" w:cs="Times New Roman"/>
          <w:sz w:val="32"/>
          <w:szCs w:val="32"/>
        </w:rPr>
        <w:t xml:space="preserve">    </w:t>
      </w:r>
      <w:r>
        <w:rPr>
          <w:rFonts w:ascii="Times New Roman" w:hAnsi="Times New Roman" w:eastAsia="黑体" w:cs="Times New Roman"/>
          <w:sz w:val="32"/>
          <w:szCs w:val="32"/>
        </w:rPr>
        <w:t>二、2025年度一般公共预算财政拨款“三公”经费支出情况说明</w:t>
      </w:r>
    </w:p>
    <w:p w14:paraId="349912E3">
      <w:pPr>
        <w:spacing w:line="560" w:lineRule="exact"/>
        <w:ind w:firstLine="628"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（一）一般公共预算财政拨款“三公”经费支出决算总体情况说明。</w:t>
      </w:r>
    </w:p>
    <w:p w14:paraId="09FECFD1">
      <w:pPr>
        <w:spacing w:line="560" w:lineRule="exact"/>
        <w:ind w:firstLine="628" w:firstLineChars="200"/>
        <w:rPr>
          <w:rFonts w:ascii="Times New Roman" w:hAnsi="Times New Roman" w:eastAsia="楷体_GB2312" w:cs="Times New Roman"/>
          <w:sz w:val="32"/>
          <w:szCs w:val="32"/>
        </w:rPr>
      </w:pPr>
      <w:r>
        <w:rPr>
          <w:rFonts w:hint="eastAsia" w:ascii="Times New Roman" w:hAnsi="Times New Roman" w:eastAsia="仿宋_GB2312" w:cs="Times New Roman"/>
          <w:sz w:val="32"/>
          <w:szCs w:val="32"/>
        </w:rPr>
        <w:t>宿州市</w:t>
      </w:r>
      <w:r>
        <w:rPr>
          <w:rFonts w:hint="eastAsia" w:ascii="Times New Roman" w:hAnsi="Times New Roman" w:eastAsia="仿宋_GB2312" w:cs="Times New Roman"/>
          <w:sz w:val="32"/>
          <w:szCs w:val="32"/>
          <w:lang w:eastAsia="zh-CN"/>
        </w:rPr>
        <w:t>红十字会</w:t>
      </w:r>
      <w:r>
        <w:rPr>
          <w:rFonts w:ascii="Times New Roman" w:hAnsi="Times New Roman" w:eastAsia="仿宋_GB2312" w:cs="Times New Roman"/>
          <w:sz w:val="32"/>
          <w:szCs w:val="32"/>
        </w:rPr>
        <w:t>2025年度一般公共预算财政拨款“三公”经费支出预算为</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%；较上年减少</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万元，下降</w:t>
      </w:r>
      <w:r>
        <w:rPr>
          <w:rFonts w:hint="eastAsia" w:ascii="Times New Roman" w:hAnsi="Times New Roman" w:eastAsia="仿宋_GB2312" w:cs="Times New Roman"/>
          <w:sz w:val="32"/>
          <w:szCs w:val="32"/>
          <w:lang w:val="en-US" w:eastAsia="zh-CN"/>
        </w:rPr>
        <w:t>9.20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相同。</w:t>
      </w:r>
      <w:r>
        <w:rPr>
          <w:rFonts w:ascii="Times New Roman" w:hAnsi="Times New Roman" w:eastAsia="仿宋_GB2312" w:cs="Times New Roman"/>
          <w:sz w:val="32"/>
          <w:szCs w:val="32"/>
        </w:rPr>
        <w:t>决算数较上年减少的主要原因是</w:t>
      </w:r>
      <w:r>
        <w:rPr>
          <w:rFonts w:hint="eastAsia" w:ascii="Times New Roman" w:hAnsi="Times New Roman" w:eastAsia="仿宋_GB2312" w:cs="Times New Roman"/>
          <w:sz w:val="32"/>
          <w:szCs w:val="32"/>
          <w:lang w:eastAsia="zh-CN"/>
        </w:rPr>
        <w:t>开展项目接待来访次数减少</w:t>
      </w:r>
      <w:r>
        <w:rPr>
          <w:rFonts w:ascii="Times New Roman" w:hAnsi="Times New Roman" w:eastAsia="仿宋_GB2312" w:cs="Times New Roman"/>
          <w:sz w:val="32"/>
          <w:szCs w:val="32"/>
        </w:rPr>
        <w:t>。</w:t>
      </w:r>
    </w:p>
    <w:p w14:paraId="5CD5ECC5">
      <w:pPr>
        <w:spacing w:line="560" w:lineRule="exact"/>
        <w:ind w:firstLine="628" w:firstLineChars="200"/>
        <w:rPr>
          <w:rFonts w:ascii="Times New Roman" w:hAnsi="Times New Roman" w:eastAsia="仿宋_GB2312" w:cs="Times New Roman"/>
          <w:b/>
          <w:sz w:val="32"/>
          <w:szCs w:val="32"/>
        </w:rPr>
      </w:pPr>
      <w:r>
        <w:rPr>
          <w:rFonts w:ascii="Times New Roman" w:hAnsi="Times New Roman" w:eastAsia="楷体_GB2312" w:cs="Times New Roman"/>
          <w:b/>
          <w:bCs/>
          <w:sz w:val="32"/>
          <w:szCs w:val="32"/>
        </w:rPr>
        <w:t>（二）</w:t>
      </w:r>
      <w:r>
        <w:rPr>
          <w:rFonts w:ascii="Times New Roman" w:hAnsi="Times New Roman" w:eastAsia="楷体_GB2312" w:cs="Times New Roman"/>
          <w:b/>
          <w:sz w:val="32"/>
          <w:szCs w:val="32"/>
        </w:rPr>
        <w:t>一般公共预算财政拨款“三公”经费支出决算具体情况说明。</w:t>
      </w:r>
    </w:p>
    <w:p w14:paraId="3284A3F7">
      <w:pPr>
        <w:spacing w:line="560" w:lineRule="exact"/>
        <w:ind w:firstLine="628"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宿州市</w:t>
      </w:r>
      <w:r>
        <w:rPr>
          <w:rFonts w:hint="eastAsia" w:ascii="Times New Roman" w:hAnsi="Times New Roman" w:eastAsia="仿宋_GB2312" w:cs="Times New Roman"/>
          <w:sz w:val="32"/>
          <w:szCs w:val="32"/>
          <w:lang w:eastAsia="zh-CN"/>
        </w:rPr>
        <w:t>红十字会</w:t>
      </w:r>
      <w:r>
        <w:rPr>
          <w:rFonts w:ascii="Times New Roman" w:hAnsi="Times New Roman" w:eastAsia="仿宋_GB2312" w:cs="Times New Roman"/>
          <w:sz w:val="32"/>
          <w:szCs w:val="32"/>
        </w:rPr>
        <w:t>2025年度一般公共预算财政拨款“三公”经费支出决算中，因公出国（境）费支出决算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%;公务接待费支出决算</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%；公务用车购置及运行维护费支出决算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%。具体情况如下：</w:t>
      </w:r>
    </w:p>
    <w:p w14:paraId="52D5D251">
      <w:pPr>
        <w:spacing w:line="560" w:lineRule="exact"/>
        <w:ind w:firstLine="628"/>
        <w:rPr>
          <w:rFonts w:ascii="Times New Roman" w:hAnsi="Times New Roman" w:eastAsia="仿宋_GB2312" w:cs="Times New Roman"/>
          <w:sz w:val="32"/>
          <w:szCs w:val="32"/>
        </w:rPr>
      </w:pPr>
      <w:r>
        <w:rPr>
          <w:rFonts w:ascii="Times New Roman" w:hAnsi="Times New Roman" w:eastAsia="仿宋_GB2312" w:cs="Times New Roman"/>
          <w:b/>
          <w:bCs/>
          <w:sz w:val="32"/>
          <w:szCs w:val="32"/>
        </w:rPr>
        <w:t>1.因公出国（境）费</w:t>
      </w:r>
      <w:r>
        <w:rPr>
          <w:rFonts w:ascii="Times New Roman" w:hAnsi="Times New Roman" w:eastAsia="仿宋_GB2312" w:cs="Times New Roman"/>
          <w:sz w:val="32"/>
          <w:szCs w:val="32"/>
        </w:rPr>
        <w:t>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，决算数与预算数相同</w:t>
      </w:r>
      <w:r>
        <w:rPr>
          <w:rFonts w:ascii="Times New Roman" w:hAnsi="Times New Roman" w:eastAsia="仿宋_GB2312" w:cs="Times New Roman"/>
          <w:sz w:val="32"/>
          <w:szCs w:val="32"/>
        </w:rPr>
        <w:t>；较上年减少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万元，下降</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%。决算数较上年</w:t>
      </w:r>
      <w:r>
        <w:rPr>
          <w:rFonts w:hint="eastAsia" w:ascii="Times New Roman" w:hAnsi="Times New Roman" w:eastAsia="仿宋_GB2312" w:cs="Times New Roman"/>
          <w:sz w:val="32"/>
          <w:szCs w:val="32"/>
          <w:lang w:eastAsia="zh-CN"/>
        </w:rPr>
        <w:t>无变化的</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2024年度、2025年度均未安排因公</w:t>
      </w:r>
      <w:r>
        <w:rPr>
          <w:rFonts w:hint="eastAsia" w:ascii="仿宋_GB2312" w:hAnsi="仿宋" w:eastAsia="仿宋_GB2312" w:cs="Times New Roman"/>
          <w:sz w:val="32"/>
          <w:szCs w:val="32"/>
        </w:rPr>
        <w:t>出国（境）计划</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故</w:t>
      </w:r>
      <w:r>
        <w:rPr>
          <w:rFonts w:ascii="Times New Roman" w:hAnsi="Times New Roman" w:eastAsia="仿宋_GB2312" w:cs="Times New Roman"/>
          <w:sz w:val="32"/>
          <w:szCs w:val="32"/>
        </w:rPr>
        <w:t>2025年</w:t>
      </w:r>
      <w:r>
        <w:rPr>
          <w:rFonts w:hint="eastAsia" w:ascii="Times New Roman" w:hAnsi="Times New Roman" w:eastAsia="仿宋_GB2312" w:cs="Times New Roman"/>
          <w:sz w:val="32"/>
          <w:szCs w:val="32"/>
        </w:rPr>
        <w:t>宿州市</w:t>
      </w:r>
      <w:r>
        <w:rPr>
          <w:rFonts w:hint="eastAsia" w:ascii="Times New Roman" w:hAnsi="Times New Roman" w:eastAsia="仿宋_GB2312" w:cs="Times New Roman"/>
          <w:sz w:val="32"/>
          <w:szCs w:val="32"/>
          <w:lang w:eastAsia="zh-CN"/>
        </w:rPr>
        <w:t>红十字会</w:t>
      </w:r>
      <w:r>
        <w:rPr>
          <w:rFonts w:ascii="Times New Roman" w:hAnsi="Times New Roman" w:eastAsia="仿宋_GB2312" w:cs="Times New Roman"/>
          <w:sz w:val="32"/>
          <w:szCs w:val="32"/>
        </w:rPr>
        <w:t>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次，出国（境）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1E8CB765">
      <w:pPr>
        <w:spacing w:line="560" w:lineRule="exact"/>
        <w:ind w:firstLine="628"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2.公务用车购置及运行维护费</w:t>
      </w:r>
      <w:r>
        <w:rPr>
          <w:rFonts w:ascii="Times New Roman" w:hAnsi="Times New Roman" w:eastAsia="仿宋_GB2312" w:cs="Times New Roman"/>
          <w:sz w:val="32"/>
          <w:szCs w:val="32"/>
        </w:rPr>
        <w:t>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%；较上年减少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万元，下降</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相同。</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eastAsia="zh-CN"/>
        </w:rPr>
        <w:t>公车改革，无公务用车</w:t>
      </w:r>
      <w:r>
        <w:rPr>
          <w:rFonts w:ascii="Times New Roman" w:hAnsi="Times New Roman" w:eastAsia="仿宋_GB2312" w:cs="Times New Roman"/>
          <w:sz w:val="32"/>
          <w:szCs w:val="32"/>
        </w:rPr>
        <w:t>。</w:t>
      </w:r>
      <w:r>
        <w:rPr>
          <w:rFonts w:ascii="Times New Roman" w:hAnsi="Times New Roman" w:eastAsia="楷体_GB2312" w:cs="Times New Roman"/>
          <w:sz w:val="32"/>
          <w:szCs w:val="32"/>
        </w:rPr>
        <w:t>2025年没有安排公务用车购置费。</w:t>
      </w:r>
      <w:r>
        <w:rPr>
          <w:rFonts w:ascii="Times New Roman" w:hAnsi="Times New Roman" w:eastAsia="仿宋_GB2312" w:cs="Times New Roman"/>
          <w:sz w:val="32"/>
          <w:szCs w:val="32"/>
        </w:rPr>
        <w:t>公务用车运行维护费预算为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%；较上年减少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万元，下降</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bookmarkStart w:id="0" w:name="_GoBack"/>
      <w:bookmarkEnd w:id="0"/>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相同。</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eastAsia="zh-CN"/>
        </w:rPr>
        <w:t>公车改革，无公务用车</w:t>
      </w:r>
      <w:r>
        <w:rPr>
          <w:rFonts w:ascii="Times New Roman" w:hAnsi="Times New Roman" w:eastAsia="仿宋_GB2312" w:cs="Times New Roman"/>
          <w:sz w:val="32"/>
          <w:szCs w:val="32"/>
        </w:rPr>
        <w:t>。截至2025年12月31日，</w:t>
      </w:r>
      <w:r>
        <w:rPr>
          <w:rFonts w:hint="eastAsia" w:ascii="Times New Roman" w:hAnsi="Times New Roman" w:eastAsia="仿宋_GB2312" w:cs="Times New Roman"/>
          <w:sz w:val="32"/>
          <w:szCs w:val="32"/>
        </w:rPr>
        <w:t>宿州市</w:t>
      </w:r>
      <w:r>
        <w:rPr>
          <w:rFonts w:hint="eastAsia" w:ascii="Times New Roman" w:hAnsi="Times New Roman" w:eastAsia="仿宋_GB2312" w:cs="Times New Roman"/>
          <w:sz w:val="32"/>
          <w:szCs w:val="32"/>
          <w:lang w:eastAsia="zh-CN"/>
        </w:rPr>
        <w:t>红十会</w:t>
      </w:r>
      <w:r>
        <w:rPr>
          <w:rFonts w:ascii="Times New Roman" w:hAnsi="Times New Roman" w:eastAsia="仿宋_GB2312" w:cs="Times New Roman"/>
          <w:sz w:val="32"/>
          <w:szCs w:val="32"/>
        </w:rPr>
        <w:t>机关开支财政拨款的公务用车保有量为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06587483">
      <w:pPr>
        <w:spacing w:line="560" w:lineRule="exact"/>
        <w:ind w:firstLine="628"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3.公务接待费</w:t>
      </w:r>
      <w:r>
        <w:rPr>
          <w:rFonts w:ascii="Times New Roman" w:hAnsi="Times New Roman" w:eastAsia="仿宋_GB2312" w:cs="Times New Roman"/>
          <w:sz w:val="32"/>
          <w:szCs w:val="32"/>
        </w:rPr>
        <w:t>预算为</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%；较上年减少</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万元，下降</w:t>
      </w:r>
      <w:r>
        <w:rPr>
          <w:rFonts w:hint="eastAsia" w:ascii="Times New Roman" w:hAnsi="Times New Roman" w:eastAsia="仿宋_GB2312" w:cs="Times New Roman"/>
          <w:sz w:val="32"/>
          <w:szCs w:val="32"/>
          <w:lang w:val="en-US" w:eastAsia="zh-CN"/>
        </w:rPr>
        <w:t>9.20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相同</w:t>
      </w:r>
      <w:r>
        <w:rPr>
          <w:rFonts w:ascii="Times New Roman" w:hAnsi="Times New Roman" w:eastAsia="仿宋_GB2312" w:cs="Times New Roman"/>
          <w:sz w:val="32"/>
          <w:szCs w:val="32"/>
        </w:rPr>
        <w:t>。决算数较上年减少的主要原因是</w:t>
      </w:r>
      <w:r>
        <w:rPr>
          <w:rFonts w:hint="eastAsia" w:ascii="Times New Roman" w:hAnsi="Times New Roman" w:eastAsia="仿宋_GB2312" w:cs="Times New Roman"/>
          <w:sz w:val="32"/>
          <w:szCs w:val="32"/>
          <w:lang w:eastAsia="zh-CN"/>
        </w:rPr>
        <w:t>开展项目接待来访次数减少</w:t>
      </w:r>
      <w:r>
        <w:rPr>
          <w:rFonts w:ascii="Times New Roman" w:hAnsi="Times New Roman" w:eastAsia="仿宋_GB2312" w:cs="Times New Roman"/>
          <w:sz w:val="32"/>
          <w:szCs w:val="32"/>
        </w:rPr>
        <w:t>。2025年</w:t>
      </w:r>
      <w:r>
        <w:rPr>
          <w:rFonts w:hint="eastAsia" w:ascii="Times New Roman" w:hAnsi="Times New Roman" w:eastAsia="仿宋_GB2312" w:cs="Times New Roman"/>
          <w:sz w:val="32"/>
          <w:szCs w:val="32"/>
        </w:rPr>
        <w:t>宿州市</w:t>
      </w:r>
      <w:r>
        <w:rPr>
          <w:rFonts w:hint="eastAsia" w:ascii="Times New Roman" w:hAnsi="Times New Roman" w:eastAsia="仿宋_GB2312" w:cs="Times New Roman"/>
          <w:sz w:val="32"/>
          <w:szCs w:val="32"/>
          <w:lang w:eastAsia="zh-CN"/>
        </w:rPr>
        <w:t>红十字会</w:t>
      </w:r>
      <w:r>
        <w:rPr>
          <w:rFonts w:ascii="Times New Roman" w:hAnsi="Times New Roman" w:eastAsia="仿宋_GB2312" w:cs="Times New Roman"/>
          <w:sz w:val="32"/>
          <w:szCs w:val="32"/>
        </w:rPr>
        <w:t>国内公务接待共</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批次（其中外事接待</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批次），</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人次（其中外事接待</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人次）。主要是用于</w:t>
      </w:r>
      <w:r>
        <w:rPr>
          <w:rFonts w:hint="eastAsia" w:ascii="仿宋_GB2312" w:hAnsi="仿宋" w:eastAsia="仿宋_GB2312" w:cs="Times New Roman"/>
          <w:sz w:val="32"/>
          <w:szCs w:val="32"/>
          <w:lang w:val="en-US" w:eastAsia="zh-CN"/>
        </w:rPr>
        <w:t>省红会及其他省市红会来我市开展项目、调研及学习交流接待等支出</w:t>
      </w:r>
      <w:r>
        <w:rPr>
          <w:rFonts w:ascii="Times New Roman" w:hAnsi="Times New Roman" w:eastAsia="仿宋_GB2312" w:cs="Times New Roman"/>
          <w:sz w:val="32"/>
          <w:szCs w:val="32"/>
        </w:rPr>
        <w:t>。经费使用贯彻中央八项规定精神和省</w:t>
      </w:r>
      <w:r>
        <w:rPr>
          <w:rFonts w:hint="eastAsia" w:ascii="Times New Roman" w:hAnsi="Times New Roman" w:eastAsia="仿宋_GB2312" w:cs="Times New Roman"/>
          <w:sz w:val="32"/>
          <w:szCs w:val="32"/>
        </w:rPr>
        <w:t>市</w:t>
      </w:r>
      <w:r>
        <w:rPr>
          <w:rFonts w:ascii="Times New Roman" w:hAnsi="Times New Roman" w:eastAsia="仿宋_GB2312" w:cs="Times New Roman"/>
          <w:sz w:val="32"/>
          <w:szCs w:val="32"/>
        </w:rPr>
        <w:t>实</w:t>
      </w:r>
      <w:r>
        <w:rPr>
          <w:rFonts w:ascii="Times New Roman" w:hAnsi="Times New Roman" w:eastAsia="仿宋_GB2312" w:cs="Times New Roman"/>
          <w:color w:val="282828"/>
          <w:kern w:val="0"/>
          <w:sz w:val="32"/>
          <w:szCs w:val="32"/>
        </w:rPr>
        <w:t>施细则</w:t>
      </w:r>
      <w:r>
        <w:rPr>
          <w:rFonts w:ascii="Times New Roman" w:hAnsi="Times New Roman" w:eastAsia="仿宋_GB2312" w:cs="Times New Roman"/>
          <w:sz w:val="32"/>
          <w:szCs w:val="32"/>
        </w:rPr>
        <w:t>，严格执行《党政机关厉行节约反对浪费条例》</w:t>
      </w:r>
      <w:r>
        <w:rPr>
          <w:rFonts w:hint="eastAsia" w:ascii="仿宋_GB2312" w:hAnsi="仿宋" w:eastAsia="仿宋_GB2312" w:cs="Times New Roman"/>
          <w:sz w:val="32"/>
          <w:szCs w:val="32"/>
        </w:rPr>
        <w:t>《宿州市市直机关公务接待管理暂行办法》（宿财行〔</w:t>
      </w:r>
      <w:r>
        <w:rPr>
          <w:rFonts w:hint="eastAsia" w:ascii="Times New Roman" w:hAnsi="Times New Roman" w:eastAsia="仿宋_GB2312" w:cs="Times New Roman"/>
          <w:sz w:val="32"/>
          <w:szCs w:val="32"/>
        </w:rPr>
        <w:t>2015</w:t>
      </w:r>
      <w:r>
        <w:rPr>
          <w:rFonts w:hint="eastAsia" w:ascii="仿宋_GB2312" w:hAnsi="仿宋" w:eastAsia="仿宋_GB2312" w:cs="Times New Roman"/>
          <w:sz w:val="32"/>
          <w:szCs w:val="32"/>
        </w:rPr>
        <w:t>〕</w:t>
      </w:r>
      <w:r>
        <w:rPr>
          <w:rFonts w:hint="eastAsia" w:ascii="Times New Roman" w:hAnsi="Times New Roman" w:eastAsia="仿宋_GB2312" w:cs="Times New Roman"/>
          <w:sz w:val="32"/>
          <w:szCs w:val="32"/>
        </w:rPr>
        <w:t>4</w:t>
      </w:r>
      <w:r>
        <w:rPr>
          <w:rFonts w:hint="eastAsia" w:ascii="仿宋_GB2312" w:hAnsi="仿宋" w:eastAsia="仿宋_GB2312" w:cs="Times New Roman"/>
          <w:sz w:val="32"/>
          <w:szCs w:val="32"/>
        </w:rPr>
        <w:t>号）、《关于调整市直机关公务接待费用餐标准的通知》（宿财行〔</w:t>
      </w:r>
      <w:r>
        <w:rPr>
          <w:rFonts w:hint="eastAsia" w:ascii="Times New Roman" w:hAnsi="Times New Roman" w:eastAsia="仿宋_GB2312" w:cs="Times New Roman"/>
          <w:sz w:val="32"/>
          <w:szCs w:val="32"/>
        </w:rPr>
        <w:t>2018</w:t>
      </w:r>
      <w:r>
        <w:rPr>
          <w:rFonts w:hint="eastAsia" w:ascii="仿宋_GB2312" w:hAnsi="仿宋" w:eastAsia="仿宋_GB2312" w:cs="Times New Roman"/>
          <w:sz w:val="32"/>
          <w:szCs w:val="32"/>
        </w:rPr>
        <w:t>〕</w:t>
      </w:r>
      <w:r>
        <w:rPr>
          <w:rFonts w:hint="eastAsia" w:ascii="Times New Roman" w:hAnsi="Times New Roman" w:eastAsia="仿宋_GB2312" w:cs="Times New Roman"/>
          <w:sz w:val="32"/>
          <w:szCs w:val="32"/>
        </w:rPr>
        <w:t>258</w:t>
      </w:r>
      <w:r>
        <w:rPr>
          <w:rFonts w:hint="eastAsia" w:ascii="仿宋_GB2312" w:hAnsi="仿宋" w:eastAsia="仿宋_GB2312" w:cs="Times New Roman"/>
          <w:sz w:val="32"/>
          <w:szCs w:val="32"/>
        </w:rPr>
        <w:t>号）等相关规定。</w:t>
      </w:r>
    </w:p>
    <w:p w14:paraId="0216B8E4">
      <w:pPr>
        <w:snapToGrid w:val="0"/>
        <w:spacing w:line="560" w:lineRule="exact"/>
        <w:jc w:val="left"/>
        <w:rPr>
          <w:rFonts w:ascii="Times New Roman" w:hAnsi="Times New Roman" w:eastAsia="仿宋_GB2312" w:cs="Times New Roman"/>
          <w:sz w:val="32"/>
          <w:szCs w:val="32"/>
        </w:rPr>
      </w:pPr>
    </w:p>
    <w:p w14:paraId="58897022">
      <w:pPr>
        <w:spacing w:line="560" w:lineRule="exact"/>
        <w:ind w:left="1258" w:hanging="1258"/>
        <w:rPr>
          <w:rFonts w:ascii="Times New Roman" w:hAnsi="Times New Roman" w:eastAsia="仿宋_GB2312" w:cs="Times New Roman"/>
          <w:sz w:val="32"/>
          <w:szCs w:val="32"/>
        </w:rPr>
      </w:pPr>
    </w:p>
    <w:p w14:paraId="0AC13E5B">
      <w:pPr>
        <w:spacing w:line="560" w:lineRule="exact"/>
        <w:ind w:left="1258" w:hanging="1258"/>
        <w:rPr>
          <w:rFonts w:ascii="Times New Roman" w:hAnsi="Times New Roman" w:eastAsia="仿宋_GB2312" w:cs="Times New Roman"/>
          <w:sz w:val="32"/>
          <w:szCs w:val="32"/>
        </w:rPr>
      </w:pPr>
    </w:p>
    <w:p w14:paraId="32A4DDAE">
      <w:pPr>
        <w:spacing w:line="560" w:lineRule="exact"/>
        <w:rPr>
          <w:rFonts w:ascii="Times New Roman" w:hAnsi="Times New Roman" w:eastAsia="黑体" w:cs="Times New Roman"/>
          <w:sz w:val="32"/>
          <w:szCs w:val="32"/>
        </w:rPr>
      </w:pPr>
    </w:p>
    <w:p w14:paraId="5F5BAA94"/>
    <w:sectPr>
      <w:footerReference r:id="rId3" w:type="default"/>
      <w:footerReference r:id="rId4" w:type="even"/>
      <w:pgSz w:w="11906" w:h="16838"/>
      <w:pgMar w:top="2155" w:right="1531" w:bottom="1588" w:left="1588" w:header="0" w:footer="1588" w:gutter="0"/>
      <w:cols w:space="720" w:num="1"/>
      <w:docGrid w:type="linesAndChars" w:linePitch="569" w:charSpace="-126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57E1C">
    <w:pPr>
      <w:pStyle w:val="2"/>
      <w:framePr w:wrap="around" w:vAnchor="text" w:hAnchor="margin" w:xAlign="right" w:y="1"/>
      <w:rPr>
        <w:rStyle w:val="6"/>
        <w:rFonts w:ascii="仿宋_GB2312"/>
        <w:sz w:val="28"/>
      </w:rPr>
    </w:pPr>
    <w:r>
      <w:rPr>
        <w:rStyle w:val="6"/>
        <w:rFonts w:hint="eastAsia" w:ascii="仿宋_GB2312"/>
        <w:sz w:val="28"/>
      </w:rPr>
      <w:t>-</w:t>
    </w:r>
    <w:r>
      <w:rPr>
        <w:rFonts w:hint="eastAsia" w:ascii="仿宋_GB2312"/>
        <w:sz w:val="28"/>
        <w:szCs w:val="28"/>
      </w:rPr>
      <w:fldChar w:fldCharType="begin"/>
    </w:r>
    <w:r>
      <w:rPr>
        <w:rStyle w:val="6"/>
        <w:rFonts w:hint="eastAsia" w:ascii="仿宋_GB2312"/>
        <w:sz w:val="28"/>
        <w:szCs w:val="28"/>
      </w:rPr>
      <w:instrText xml:space="preserve"> PAGE </w:instrText>
    </w:r>
    <w:r>
      <w:rPr>
        <w:rFonts w:hint="eastAsia" w:ascii="仿宋_GB2312"/>
        <w:sz w:val="28"/>
        <w:szCs w:val="28"/>
      </w:rPr>
      <w:fldChar w:fldCharType="separate"/>
    </w:r>
    <w:r>
      <w:rPr>
        <w:rStyle w:val="6"/>
        <w:rFonts w:ascii="仿宋_GB2312"/>
        <w:sz w:val="28"/>
        <w:szCs w:val="28"/>
      </w:rPr>
      <w:t>4</w:t>
    </w:r>
    <w:r>
      <w:rPr>
        <w:rFonts w:hint="eastAsia" w:ascii="仿宋_GB2312"/>
        <w:sz w:val="28"/>
        <w:szCs w:val="28"/>
      </w:rPr>
      <w:fldChar w:fldCharType="end"/>
    </w:r>
    <w:r>
      <w:rPr>
        <w:rStyle w:val="6"/>
        <w:rFonts w:hint="eastAsia" w:ascii="仿宋_GB2312"/>
        <w:sz w:val="28"/>
        <w:szCs w:val="28"/>
      </w:rPr>
      <w:t>-</w:t>
    </w:r>
  </w:p>
  <w:p w14:paraId="4C9D5F3F">
    <w:pPr>
      <w:pStyle w:val="2"/>
      <w:ind w:right="360"/>
      <w:jc w:val="right"/>
      <w:rPr>
        <w:rFonts w:ascii="仿宋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2BDC5">
    <w:pPr>
      <w:pStyle w:val="2"/>
      <w:framePr w:wrap="around" w:vAnchor="text" w:hAnchor="margin" w:xAlign="right" w:y="1"/>
      <w:rPr>
        <w:rStyle w:val="6"/>
      </w:rPr>
    </w:pPr>
    <w:r>
      <w:fldChar w:fldCharType="begin"/>
    </w:r>
    <w:r>
      <w:rPr>
        <w:rStyle w:val="6"/>
      </w:rPr>
      <w:instrText xml:space="preserve">PAGE  </w:instrText>
    </w:r>
    <w:r>
      <w:fldChar w:fldCharType="separate"/>
    </w:r>
    <w:r>
      <w:rPr>
        <w:rStyle w:val="6"/>
        <w:rFonts w:ascii="Times New Roman" w:hAnsi="Times New Roman"/>
      </w:rPr>
      <w:t>1</w:t>
    </w:r>
    <w:r>
      <w:fldChar w:fldCharType="end"/>
    </w:r>
  </w:p>
  <w:p w14:paraId="38198937">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F7795"/>
    <w:rsid w:val="00042212"/>
    <w:rsid w:val="001B3FC5"/>
    <w:rsid w:val="001C1D6E"/>
    <w:rsid w:val="00252A6F"/>
    <w:rsid w:val="002D6F97"/>
    <w:rsid w:val="002D76F6"/>
    <w:rsid w:val="004F7795"/>
    <w:rsid w:val="00697D32"/>
    <w:rsid w:val="00796C49"/>
    <w:rsid w:val="00824837"/>
    <w:rsid w:val="0088126C"/>
    <w:rsid w:val="00892C6F"/>
    <w:rsid w:val="00C61A5A"/>
    <w:rsid w:val="00C82DC7"/>
    <w:rsid w:val="00CE2169"/>
    <w:rsid w:val="00D34820"/>
    <w:rsid w:val="00D613B6"/>
    <w:rsid w:val="00D948B6"/>
    <w:rsid w:val="00F37EA3"/>
    <w:rsid w:val="00FE7618"/>
    <w:rsid w:val="00FF2D7B"/>
    <w:rsid w:val="02B72EA9"/>
    <w:rsid w:val="1A0757F3"/>
    <w:rsid w:val="226743D7"/>
    <w:rsid w:val="40FC4FC9"/>
    <w:rsid w:val="5FC73C36"/>
    <w:rsid w:val="62001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545</Characters>
  <Lines>13</Lines>
  <Paragraphs>3</Paragraphs>
  <TotalTime>11</TotalTime>
  <ScaleCrop>false</ScaleCrop>
  <LinksUpToDate>false</LinksUpToDate>
  <CharactersWithSpaces>589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2026-08-07T03:39:00Z</dcterms:created>
  <dc:creator>admin</dc:creator>
  <cp:lastModifiedBy>曹艳</cp:lastModifiedBy>
  <dcterms:modified xsi:type="dcterms:W3CDTF">2026-08-17T08:57:08Z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eyJoZGlkIjoiOWFlY2MwYjUxZTM2ODRiZDAyMmM3ZDcwZDk0NmQ4ZGMiLCJ1c2VySWQiOiI2NjgzNzY5MjAifQ==</vt:lpwstr>
  </property>
  <property fmtid="{D5CDD505-2E9C-101B-9397-08002B2CF9AE}" pid="3" name="KSOProductBuildVer">
    <vt:lpwstr>2052-12.1.0.23125</vt:lpwstr>
  </property>
  <property fmtid="{D5CDD505-2E9C-101B-9397-08002B2CF9AE}" pid="4" name="ICV">
    <vt:lpwstr>5142A3288EB44D86887D9FA6BE268EF3_12</vt:lpwstr>
  </property>
</Properties>
</file>